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9C81E">
      <w:pPr>
        <w:pStyle w:val="17"/>
        <w:jc w:val="center"/>
        <w:rPr>
          <w:rFonts w:ascii="Calibri" w:hAnsi="Calibri" w:eastAsia="Calibri" w:cs="Calibri"/>
          <w:color w:val="C00000"/>
        </w:rPr>
      </w:pPr>
      <w:r>
        <w:rPr>
          <w:rFonts w:hint="eastAsia" w:ascii="Calibri" w:hAnsi="Calibri" w:eastAsia="SimSun" w:cs="Calibri"/>
          <w:color w:val="C00000"/>
          <w:lang w:val="en-US" w:eastAsia="zh-CN"/>
        </w:rPr>
        <w:t xml:space="preserve">Gao Global Education Ltd </w:t>
      </w:r>
      <w:r>
        <w:rPr>
          <w:rFonts w:ascii="Calibri" w:hAnsi="Calibri" w:eastAsia="Calibri" w:cs="Calibri"/>
          <w:color w:val="C00000"/>
        </w:rPr>
        <w:t>Whistleblowing Policy</w:t>
      </w:r>
    </w:p>
    <w:p w14:paraId="2E4F09F4"/>
    <w:p w14:paraId="451BDADA">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Policy Statement</w:t>
      </w:r>
    </w:p>
    <w:p w14:paraId="35F9D558">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Gao Global Education Ltd is committed to the highest standards of transparency, integrity, and accountability in the guardianship and care of international students.</w:t>
      </w:r>
    </w:p>
    <w:p w14:paraId="0098AEA1">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We recognise our responsibility to ensure that any concerns about safeguarding, malpractice, or unethical behaviour are raised promptly and addressed appropriately. Creating a culture where individuals feel confident to speak up is essential to protecting students and maintaining high standards of care.</w:t>
      </w:r>
    </w:p>
    <w:p w14:paraId="1B72036B">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As a small organisation led by a single director, Gao Global Education Ltd ensures that clear alternative reporting routes are available where internal reporting is not appropriate.</w:t>
      </w:r>
    </w:p>
    <w:p w14:paraId="1634C5A8">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This policy provides a safe and confidential process for raising serious concerns in the public interest. Individuals who raise concerns in good faith will not suffer any detriment, victimisation, or retaliation.</w:t>
      </w:r>
    </w:p>
    <w:p w14:paraId="778459DB">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This policy should be read in conjunction with the Safeguarding and Child Protection Policy. Any concerns relating to the safety or welfare of a child must be treated as a safeguarding concern and acted upon immediately.</w:t>
      </w:r>
    </w:p>
    <w:p w14:paraId="292E6656">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Policy</w:t>
      </w:r>
    </w:p>
    <w:p w14:paraId="77FBC50F">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This procedure applies to, but is not limited to, allegations about any of the following:</w:t>
      </w:r>
    </w:p>
    <w:p w14:paraId="717FD274">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Conduct which is an offence or breach of the law</w:t>
      </w:r>
    </w:p>
    <w:p w14:paraId="72162D38">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Alleged miscarriage of justice</w:t>
      </w:r>
    </w:p>
    <w:p w14:paraId="715920B2">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Serious health and safety risks</w:t>
      </w:r>
    </w:p>
    <w:p w14:paraId="2E89163E">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The unauthorised use of public funds</w:t>
      </w:r>
    </w:p>
    <w:p w14:paraId="45D5B0F9">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Possible fraud and corruption</w:t>
      </w:r>
    </w:p>
    <w:p w14:paraId="6E0BF933">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Sexual, physical, or verbal abuse, or bullying or intimidation of students, staff, or anyone in our care</w:t>
      </w:r>
    </w:p>
    <w:p w14:paraId="605AB39F">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Abuse of authority</w:t>
      </w:r>
    </w:p>
    <w:p w14:paraId="77CE962A">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Concerns about how child protection issues are being handled in the organisation</w:t>
      </w:r>
    </w:p>
    <w:p w14:paraId="48D037E9">
      <w:pPr>
        <w:keepNext w:val="0"/>
        <w:keepLines w:val="0"/>
        <w:widowControl/>
        <w:numPr>
          <w:ilvl w:val="0"/>
          <w:numId w:val="1"/>
        </w:numPr>
        <w:suppressLineNumbers w:val="0"/>
        <w:spacing w:before="0" w:beforeAutospacing="1" w:after="0" w:afterAutospacing="1"/>
        <w:ind w:left="720" w:hanging="360"/>
      </w:pPr>
      <w:r>
        <w:rPr>
          <w:i w:val="0"/>
          <w:iCs w:val="0"/>
          <w:caps w:val="0"/>
          <w:color w:val="000000"/>
          <w:spacing w:val="0"/>
          <w:u w:val="none"/>
        </w:rPr>
        <w:t>Other unethical, unprofessional, or inappropriate conduct</w:t>
      </w:r>
    </w:p>
    <w:p w14:paraId="652FF459">
      <w:pPr>
        <w:pStyle w:val="14"/>
        <w:keepNext w:val="0"/>
        <w:keepLines w:val="0"/>
        <w:widowControl/>
        <w:suppressLineNumbers w:val="0"/>
        <w:ind w:left="0" w:firstLine="0"/>
        <w:rPr>
          <w:i w:val="0"/>
          <w:iCs w:val="0"/>
          <w:caps w:val="0"/>
          <w:color w:val="000000"/>
          <w:spacing w:val="0"/>
          <w:u w:val="none"/>
        </w:rPr>
      </w:pPr>
      <w:r>
        <w:rPr>
          <w:rStyle w:val="15"/>
          <w:i w:val="0"/>
          <w:iCs w:val="0"/>
          <w:caps w:val="0"/>
          <w:color w:val="000000"/>
          <w:spacing w:val="0"/>
          <w:u w:val="none"/>
        </w:rPr>
        <w:t>Note:</w:t>
      </w:r>
      <w:r>
        <w:rPr>
          <w:i w:val="0"/>
          <w:iCs w:val="0"/>
          <w:caps w:val="0"/>
          <w:color w:val="000000"/>
          <w:spacing w:val="0"/>
          <w:u w:val="none"/>
        </w:rPr>
        <w:t> As a single-director organisation, Gao Global Education Ltd ensures that alternative reporting routes are available if a concern involves the CEO. Staff, volunteers, or partners can report concerns externally to NSPCC, Protect, or AEGIS.</w:t>
      </w:r>
    </w:p>
    <w:p w14:paraId="5546DB6F">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Reporting</w:t>
      </w:r>
    </w:p>
    <w:p w14:paraId="6883FFB8">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Gao Global Education Ltd recognises that raising a concern can be difficult. Individuals who make serious allegations in the reasonable belief that it is in the public interest to do so have nothing to fear, because they are acting to protect the students and uphold high standards of care.</w:t>
      </w:r>
    </w:p>
    <w:p w14:paraId="1E2DB453">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As a single-director company, internal reporting to another manager may not always be possible. In such cases, whistleblowers can report concerns </w:t>
      </w:r>
      <w:r>
        <w:rPr>
          <w:rStyle w:val="15"/>
          <w:i w:val="0"/>
          <w:iCs w:val="0"/>
          <w:caps w:val="0"/>
          <w:color w:val="000000"/>
          <w:spacing w:val="0"/>
          <w:u w:val="none"/>
        </w:rPr>
        <w:t>externally</w:t>
      </w:r>
      <w:r>
        <w:rPr>
          <w:i w:val="0"/>
          <w:iCs w:val="0"/>
          <w:caps w:val="0"/>
          <w:color w:val="000000"/>
          <w:spacing w:val="0"/>
          <w:u w:val="none"/>
        </w:rPr>
        <w:t> to NSPCC, Protect, or AEGIS.</w:t>
      </w:r>
    </w:p>
    <w:p w14:paraId="0794CD70">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Gao Global Education Ltd will ensure that anyone raising a concern in good faith will </w:t>
      </w:r>
      <w:r>
        <w:rPr>
          <w:rStyle w:val="15"/>
          <w:i w:val="0"/>
          <w:iCs w:val="0"/>
          <w:caps w:val="0"/>
          <w:color w:val="000000"/>
          <w:spacing w:val="0"/>
          <w:u w:val="none"/>
        </w:rPr>
        <w:t>not suffer reprisals, harassment, or victimisation</w:t>
      </w:r>
      <w:r>
        <w:rPr>
          <w:i w:val="0"/>
          <w:iCs w:val="0"/>
          <w:caps w:val="0"/>
          <w:color w:val="000000"/>
          <w:spacing w:val="0"/>
          <w:u w:val="none"/>
        </w:rPr>
        <w:t>, whether the report is made internally or externally.</w:t>
      </w:r>
    </w:p>
    <w:p w14:paraId="270D7ADD">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Confidentiality</w:t>
      </w:r>
    </w:p>
    <w:p w14:paraId="08174FCF">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Gao Global Education Ltd treats all allegations </w:t>
      </w:r>
      <w:r>
        <w:rPr>
          <w:rStyle w:val="15"/>
          <w:rFonts w:hint="default" w:ascii="Times New Roman Bold" w:hAnsi="Times New Roman Bold" w:cs="Times New Roman Bold"/>
          <w:b/>
          <w:bCs/>
          <w:i w:val="0"/>
          <w:iCs w:val="0"/>
          <w:caps w:val="0"/>
          <w:color w:val="953735" w:themeColor="accent2" w:themeShade="BF"/>
          <w:spacing w:val="0"/>
          <w:u w:val="none"/>
        </w:rPr>
        <w:t>in confidence</w:t>
      </w:r>
      <w:r>
        <w:rPr>
          <w:rFonts w:hint="default" w:ascii="Times New Roman Bold" w:hAnsi="Times New Roman Bold" w:cs="Times New Roman Bold"/>
          <w:b/>
          <w:bCs/>
          <w:i w:val="0"/>
          <w:iCs w:val="0"/>
          <w:caps w:val="0"/>
          <w:color w:val="953735" w:themeColor="accent2" w:themeShade="BF"/>
          <w:spacing w:val="0"/>
          <w:u w:val="none"/>
        </w:rPr>
        <w:t>. Whistleblowers’ identities will not be disclosed without their consent, except where disclosure is required by law or as part of an external investigation.</w:t>
      </w:r>
    </w:p>
    <w:p w14:paraId="68868178">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As a single-director company, internal investigation is not always possible. In cases where the concern involves the CEO, whistleblowers may report externally to </w:t>
      </w:r>
      <w:r>
        <w:rPr>
          <w:rStyle w:val="15"/>
          <w:rFonts w:hint="default" w:ascii="Times New Roman Bold" w:hAnsi="Times New Roman Bold" w:cs="Times New Roman Bold"/>
          <w:b/>
          <w:bCs/>
          <w:i w:val="0"/>
          <w:iCs w:val="0"/>
          <w:caps w:val="0"/>
          <w:color w:val="953735" w:themeColor="accent2" w:themeShade="BF"/>
          <w:spacing w:val="0"/>
          <w:u w:val="none"/>
        </w:rPr>
        <w:t>NSPCC, Protect, or AEGIS</w:t>
      </w:r>
      <w:r>
        <w:rPr>
          <w:rFonts w:hint="default" w:ascii="Times New Roman Bold" w:hAnsi="Times New Roman Bold" w:cs="Times New Roman Bold"/>
          <w:b/>
          <w:bCs/>
          <w:i w:val="0"/>
          <w:iCs w:val="0"/>
          <w:caps w:val="0"/>
          <w:color w:val="953735" w:themeColor="accent2" w:themeShade="BF"/>
          <w:spacing w:val="0"/>
          <w:u w:val="none"/>
        </w:rPr>
        <w:t>, who will handle the investigation confidentially.</w:t>
      </w:r>
    </w:p>
    <w:p w14:paraId="5B81C403">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Whistleblowers may be asked to provide information to assist with an investigation, but every effort will be made to </w:t>
      </w:r>
      <w:r>
        <w:rPr>
          <w:rStyle w:val="15"/>
          <w:i w:val="0"/>
          <w:iCs w:val="0"/>
          <w:caps w:val="0"/>
          <w:color w:val="000000"/>
          <w:spacing w:val="0"/>
          <w:u w:val="none"/>
        </w:rPr>
        <w:t>protect their identity and privacy</w:t>
      </w:r>
      <w:r>
        <w:rPr>
          <w:i w:val="0"/>
          <w:iCs w:val="0"/>
          <w:caps w:val="0"/>
          <w:color w:val="000000"/>
          <w:spacing w:val="0"/>
          <w:u w:val="none"/>
        </w:rPr>
        <w:t> throughout the process.</w:t>
      </w:r>
    </w:p>
    <w:p w14:paraId="07BDDF1D">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Anonymous Allegations</w:t>
      </w:r>
    </w:p>
    <w:p w14:paraId="400E476C">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This policy encourages whistleblowers to put their name to an allegation wherever possible, as anonymous allegations are often more difficult to investigate.</w:t>
      </w:r>
    </w:p>
    <w:p w14:paraId="6B6434A6">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As a single-director company, internal discretion is limited. Anonymous allegations will still be taken seriously and considered, particularly if reported through </w:t>
      </w:r>
      <w:r>
        <w:rPr>
          <w:rStyle w:val="15"/>
          <w:rFonts w:hint="default" w:ascii="Times New Roman Bold" w:hAnsi="Times New Roman Bold" w:cs="Times New Roman Bold"/>
          <w:b/>
          <w:bCs/>
          <w:i w:val="0"/>
          <w:iCs w:val="0"/>
          <w:caps w:val="0"/>
          <w:color w:val="953735" w:themeColor="accent2" w:themeShade="BF"/>
          <w:spacing w:val="0"/>
          <w:u w:val="none"/>
        </w:rPr>
        <w:t>external channels</w:t>
      </w:r>
      <w:r>
        <w:rPr>
          <w:rFonts w:hint="default" w:ascii="Times New Roman Bold" w:hAnsi="Times New Roman Bold" w:cs="Times New Roman Bold"/>
          <w:b/>
          <w:bCs/>
          <w:i w:val="0"/>
          <w:iCs w:val="0"/>
          <w:caps w:val="0"/>
          <w:color w:val="953735" w:themeColor="accent2" w:themeShade="BF"/>
          <w:spacing w:val="0"/>
          <w:u w:val="none"/>
        </w:rPr>
        <w:t> such as </w:t>
      </w:r>
      <w:r>
        <w:rPr>
          <w:rStyle w:val="15"/>
          <w:rFonts w:hint="default" w:ascii="Times New Roman Bold" w:hAnsi="Times New Roman Bold" w:cs="Times New Roman Bold"/>
          <w:b/>
          <w:bCs/>
          <w:i w:val="0"/>
          <w:iCs w:val="0"/>
          <w:caps w:val="0"/>
          <w:color w:val="953735" w:themeColor="accent2" w:themeShade="BF"/>
          <w:spacing w:val="0"/>
          <w:u w:val="none"/>
        </w:rPr>
        <w:t>NSPCC, Protect, or AEGIS</w:t>
      </w:r>
      <w:r>
        <w:rPr>
          <w:rFonts w:hint="default" w:ascii="Times New Roman Bold" w:hAnsi="Times New Roman Bold" w:cs="Times New Roman Bold"/>
          <w:b/>
          <w:bCs/>
          <w:i w:val="0"/>
          <w:iCs w:val="0"/>
          <w:caps w:val="0"/>
          <w:color w:val="953735" w:themeColor="accent2" w:themeShade="BF"/>
          <w:spacing w:val="0"/>
          <w:u w:val="none"/>
        </w:rPr>
        <w:t>.</w:t>
      </w:r>
    </w:p>
    <w:p w14:paraId="125DE019">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When considering anonymous allegations, the following factors will be taken into account:</w:t>
      </w:r>
    </w:p>
    <w:p w14:paraId="401D061D">
      <w:pPr>
        <w:keepNext w:val="0"/>
        <w:keepLines w:val="0"/>
        <w:widowControl/>
        <w:numPr>
          <w:ilvl w:val="0"/>
          <w:numId w:val="2"/>
        </w:numPr>
        <w:suppressLineNumbers w:val="0"/>
        <w:spacing w:before="0" w:beforeAutospacing="1" w:after="0" w:afterAutospacing="1"/>
        <w:ind w:left="720" w:hanging="360"/>
      </w:pPr>
      <w:r>
        <w:rPr>
          <w:i w:val="0"/>
          <w:iCs w:val="0"/>
          <w:caps w:val="0"/>
          <w:color w:val="000000"/>
          <w:spacing w:val="0"/>
          <w:u w:val="none"/>
        </w:rPr>
        <w:t>The </w:t>
      </w:r>
      <w:r>
        <w:rPr>
          <w:rStyle w:val="15"/>
          <w:i w:val="0"/>
          <w:iCs w:val="0"/>
          <w:caps w:val="0"/>
          <w:color w:val="000000"/>
          <w:spacing w:val="0"/>
          <w:u w:val="none"/>
        </w:rPr>
        <w:t>seriousness</w:t>
      </w:r>
      <w:r>
        <w:rPr>
          <w:i w:val="0"/>
          <w:iCs w:val="0"/>
          <w:caps w:val="0"/>
          <w:color w:val="000000"/>
          <w:spacing w:val="0"/>
          <w:u w:val="none"/>
        </w:rPr>
        <w:t> of the issue raised;</w:t>
      </w:r>
    </w:p>
    <w:p w14:paraId="0BBA2D3C">
      <w:pPr>
        <w:keepNext w:val="0"/>
        <w:keepLines w:val="0"/>
        <w:widowControl/>
        <w:numPr>
          <w:ilvl w:val="0"/>
          <w:numId w:val="2"/>
        </w:numPr>
        <w:suppressLineNumbers w:val="0"/>
        <w:spacing w:before="0" w:beforeAutospacing="1" w:after="0" w:afterAutospacing="1"/>
        <w:ind w:left="720" w:hanging="360"/>
      </w:pPr>
      <w:r>
        <w:rPr>
          <w:i w:val="0"/>
          <w:iCs w:val="0"/>
          <w:caps w:val="0"/>
          <w:color w:val="000000"/>
          <w:spacing w:val="0"/>
          <w:u w:val="none"/>
        </w:rPr>
        <w:t>The </w:t>
      </w:r>
      <w:r>
        <w:rPr>
          <w:rStyle w:val="15"/>
          <w:i w:val="0"/>
          <w:iCs w:val="0"/>
          <w:caps w:val="0"/>
          <w:color w:val="000000"/>
          <w:spacing w:val="0"/>
          <w:u w:val="none"/>
        </w:rPr>
        <w:t>credibility</w:t>
      </w:r>
      <w:r>
        <w:rPr>
          <w:i w:val="0"/>
          <w:iCs w:val="0"/>
          <w:caps w:val="0"/>
          <w:color w:val="000000"/>
          <w:spacing w:val="0"/>
          <w:u w:val="none"/>
        </w:rPr>
        <w:t> of the allegation; and</w:t>
      </w:r>
    </w:p>
    <w:p w14:paraId="33EA1793">
      <w:pPr>
        <w:numPr>
          <w:ilvl w:val="0"/>
          <w:numId w:val="2"/>
        </w:numPr>
        <w:bidi w:val="0"/>
      </w:pPr>
      <w:r>
        <w:rPr>
          <w:i w:val="0"/>
          <w:iCs w:val="0"/>
          <w:caps w:val="0"/>
          <w:color w:val="000000"/>
          <w:spacing w:val="0"/>
          <w:u w:val="none"/>
        </w:rPr>
        <w:t>Whether the allegation can reasonably be investigated using </w:t>
      </w:r>
      <w:r>
        <w:rPr>
          <w:rStyle w:val="15"/>
          <w:i w:val="0"/>
          <w:iCs w:val="0"/>
          <w:caps w:val="0"/>
          <w:color w:val="000000"/>
          <w:spacing w:val="0"/>
          <w:u w:val="none"/>
        </w:rPr>
        <w:t>available evidence or external support</w:t>
      </w:r>
      <w:r>
        <w:rPr>
          <w:i w:val="0"/>
          <w:iCs w:val="0"/>
          <w:caps w:val="0"/>
          <w:color w:val="000000"/>
          <w:spacing w:val="0"/>
          <w:u w:val="none"/>
        </w:rPr>
        <w:t>.</w:t>
      </w:r>
    </w:p>
    <w:p w14:paraId="10C3409B">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Whistleblowers are assured that raising a concern anonymously will not affect the </w:t>
      </w:r>
      <w:r>
        <w:rPr>
          <w:rStyle w:val="15"/>
          <w:i w:val="0"/>
          <w:iCs w:val="0"/>
          <w:caps w:val="0"/>
          <w:color w:val="000000"/>
          <w:spacing w:val="0"/>
          <w:u w:val="none"/>
        </w:rPr>
        <w:t>protection and confidentiality</w:t>
      </w:r>
      <w:r>
        <w:rPr>
          <w:i w:val="0"/>
          <w:iCs w:val="0"/>
          <w:caps w:val="0"/>
          <w:color w:val="000000"/>
          <w:spacing w:val="0"/>
          <w:u w:val="none"/>
        </w:rPr>
        <w:t> offered under this policy.</w:t>
      </w:r>
    </w:p>
    <w:p w14:paraId="7117C880">
      <w:pPr>
        <w:bidi w:val="0"/>
      </w:pPr>
    </w:p>
    <w:p w14:paraId="1E1651AA">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Untrue Allegations</w:t>
      </w:r>
    </w:p>
    <w:p w14:paraId="4807A09D">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No action will be taken against a whistleblower who raises a concern in </w:t>
      </w:r>
      <w:r>
        <w:rPr>
          <w:rStyle w:val="15"/>
          <w:i w:val="0"/>
          <w:iCs w:val="0"/>
          <w:caps w:val="0"/>
          <w:color w:val="000000"/>
          <w:spacing w:val="0"/>
          <w:u w:val="none"/>
        </w:rPr>
        <w:t>good faith</w:t>
      </w:r>
      <w:r>
        <w:rPr>
          <w:i w:val="0"/>
          <w:iCs w:val="0"/>
          <w:caps w:val="0"/>
          <w:color w:val="000000"/>
          <w:spacing w:val="0"/>
          <w:u w:val="none"/>
        </w:rPr>
        <w:t> and in the reasonable belief that it is in the public interest, even if the allegation is not ultimately substantiated.</w:t>
      </w:r>
    </w:p>
    <w:p w14:paraId="193F1BC9">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However, if a concern is raised </w:t>
      </w:r>
      <w:r>
        <w:rPr>
          <w:rStyle w:val="15"/>
          <w:rFonts w:hint="default" w:ascii="Times New Roman Bold" w:hAnsi="Times New Roman Bold" w:cs="Times New Roman Bold"/>
          <w:b/>
          <w:bCs/>
          <w:i w:val="0"/>
          <w:iCs w:val="0"/>
          <w:caps w:val="0"/>
          <w:color w:val="953735" w:themeColor="accent2" w:themeShade="BF"/>
          <w:spacing w:val="0"/>
          <w:u w:val="none"/>
        </w:rPr>
        <w:t>maliciously, frivolously, or for personal gain</w:t>
      </w:r>
      <w:r>
        <w:rPr>
          <w:rFonts w:hint="default" w:ascii="Times New Roman Bold" w:hAnsi="Times New Roman Bold" w:cs="Times New Roman Bold"/>
          <w:b/>
          <w:bCs/>
          <w:i w:val="0"/>
          <w:iCs w:val="0"/>
          <w:caps w:val="0"/>
          <w:color w:val="953735" w:themeColor="accent2" w:themeShade="BF"/>
          <w:spacing w:val="0"/>
          <w:u w:val="none"/>
        </w:rPr>
        <w:t>, and there is no reasonable belief that it is in the public interest, Gao Global Education Ltd reserves the right to </w:t>
      </w:r>
      <w:r>
        <w:rPr>
          <w:rStyle w:val="15"/>
          <w:rFonts w:hint="default" w:ascii="Times New Roman Bold" w:hAnsi="Times New Roman Bold" w:cs="Times New Roman Bold"/>
          <w:b/>
          <w:bCs/>
          <w:i w:val="0"/>
          <w:iCs w:val="0"/>
          <w:caps w:val="0"/>
          <w:color w:val="953735" w:themeColor="accent2" w:themeShade="BF"/>
          <w:spacing w:val="0"/>
          <w:u w:val="none"/>
        </w:rPr>
        <w:t>refuse further engagement</w:t>
      </w:r>
      <w:r>
        <w:rPr>
          <w:rFonts w:hint="default" w:ascii="Times New Roman Bold" w:hAnsi="Times New Roman Bold" w:cs="Times New Roman Bold"/>
          <w:b/>
          <w:bCs/>
          <w:i w:val="0"/>
          <w:iCs w:val="0"/>
          <w:caps w:val="0"/>
          <w:color w:val="953735" w:themeColor="accent2" w:themeShade="BF"/>
          <w:spacing w:val="0"/>
          <w:u w:val="none"/>
        </w:rPr>
        <w:t> on the matter and may seek advice from external bodies (such as AEGIS or Protect) regarding any consequences.</w:t>
      </w:r>
    </w:p>
    <w:p w14:paraId="5C0BBEBF">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Procedure for Making an Allegation</w:t>
      </w:r>
    </w:p>
    <w:p w14:paraId="1AA749E2">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As Gao Global Education Ltd is a single-director company, internal reporting to a manager is not possible. Therefore, whistleblowers are encouraged to raise their concerns directly through one of the following independent and confidential channels:</w:t>
      </w:r>
    </w:p>
    <w:p w14:paraId="6B4C1D8C">
      <w:pPr>
        <w:keepNext w:val="0"/>
        <w:keepLines w:val="0"/>
        <w:widowControl/>
        <w:numPr>
          <w:ilvl w:val="0"/>
          <w:numId w:val="3"/>
        </w:numPr>
        <w:suppressLineNumbers w:val="0"/>
        <w:spacing w:before="0" w:beforeAutospacing="1" w:after="0" w:afterAutospacing="1"/>
        <w:ind w:left="720" w:hanging="360"/>
      </w:pPr>
      <w:r>
        <w:rPr>
          <w:rStyle w:val="15"/>
          <w:i w:val="0"/>
          <w:iCs w:val="0"/>
          <w:caps w:val="0"/>
          <w:color w:val="000000"/>
          <w:spacing w:val="0"/>
          <w:u w:val="none"/>
        </w:rPr>
        <w:t>NSPCC Whistleblowing Helpline</w:t>
      </w:r>
      <w:r>
        <w:rPr>
          <w:i w:val="0"/>
          <w:iCs w:val="0"/>
          <w:caps w:val="0"/>
          <w:color w:val="000000"/>
          <w:spacing w:val="0"/>
          <w:u w:val="none"/>
        </w:rPr>
        <w:t> – Telephone: 0800 028 0285 (8am–8pm, Monday to Friday) or email: help@nspcc.org.uk</w:t>
      </w:r>
    </w:p>
    <w:p w14:paraId="74E74C73">
      <w:pPr>
        <w:keepNext w:val="0"/>
        <w:keepLines w:val="0"/>
        <w:widowControl/>
        <w:numPr>
          <w:ilvl w:val="0"/>
          <w:numId w:val="3"/>
        </w:numPr>
        <w:suppressLineNumbers w:val="0"/>
        <w:spacing w:before="0" w:beforeAutospacing="1" w:after="0" w:afterAutospacing="1"/>
        <w:ind w:left="720" w:hanging="360"/>
      </w:pPr>
      <w:r>
        <w:rPr>
          <w:rStyle w:val="15"/>
          <w:i w:val="0"/>
          <w:iCs w:val="0"/>
          <w:caps w:val="0"/>
          <w:color w:val="000000"/>
          <w:spacing w:val="0"/>
          <w:u w:val="none"/>
        </w:rPr>
        <w:t>Protect (formerly Public Concern at Work)</w:t>
      </w:r>
      <w:r>
        <w:rPr>
          <w:i w:val="0"/>
          <w:iCs w:val="0"/>
          <w:caps w:val="0"/>
          <w:color w:val="000000"/>
          <w:spacing w:val="0"/>
          <w:u w:val="none"/>
        </w:rPr>
        <w:t> – Helpline: 020 3117 2520 or website: </w:t>
      </w:r>
      <w:r>
        <w:rPr>
          <w:i w:val="0"/>
          <w:iCs w:val="0"/>
          <w:caps w:val="0"/>
          <w:spacing w:val="0"/>
          <w:u w:val="none"/>
        </w:rPr>
        <w:fldChar w:fldCharType="begin"/>
      </w:r>
      <w:r>
        <w:rPr>
          <w:i w:val="0"/>
          <w:iCs w:val="0"/>
          <w:caps w:val="0"/>
          <w:spacing w:val="0"/>
          <w:u w:val="none"/>
        </w:rPr>
        <w:instrText xml:space="preserve"> HYPERLINK "https://www.protect-advice.org.uk/" \t "/Users/lipinghardy/Desktop/x/_new" </w:instrText>
      </w:r>
      <w:r>
        <w:rPr>
          <w:i w:val="0"/>
          <w:iCs w:val="0"/>
          <w:caps w:val="0"/>
          <w:spacing w:val="0"/>
          <w:u w:val="none"/>
        </w:rPr>
        <w:fldChar w:fldCharType="separate"/>
      </w:r>
      <w:r>
        <w:rPr>
          <w:rStyle w:val="13"/>
          <w:i w:val="0"/>
          <w:iCs w:val="0"/>
          <w:caps w:val="0"/>
          <w:spacing w:val="0"/>
          <w:u w:val="none"/>
        </w:rPr>
        <w:t>www.protect-advice.org.uk</w:t>
      </w:r>
      <w:r>
        <w:rPr>
          <w:i w:val="0"/>
          <w:iCs w:val="0"/>
          <w:caps w:val="0"/>
          <w:spacing w:val="0"/>
          <w:u w:val="none"/>
        </w:rPr>
        <w:fldChar w:fldCharType="end"/>
      </w:r>
    </w:p>
    <w:p w14:paraId="7EA14662">
      <w:pPr>
        <w:keepNext w:val="0"/>
        <w:keepLines w:val="0"/>
        <w:widowControl/>
        <w:numPr>
          <w:ilvl w:val="0"/>
          <w:numId w:val="3"/>
        </w:numPr>
        <w:suppressLineNumbers w:val="0"/>
        <w:spacing w:before="0" w:beforeAutospacing="1" w:after="0" w:afterAutospacing="1"/>
        <w:ind w:left="720" w:hanging="360"/>
      </w:pPr>
      <w:r>
        <w:rPr>
          <w:rStyle w:val="15"/>
          <w:i w:val="0"/>
          <w:iCs w:val="0"/>
          <w:caps w:val="0"/>
          <w:color w:val="000000"/>
          <w:spacing w:val="0"/>
          <w:u w:val="none"/>
        </w:rPr>
        <w:t>AEGIS</w:t>
      </w:r>
      <w:r>
        <w:rPr>
          <w:i w:val="0"/>
          <w:iCs w:val="0"/>
          <w:caps w:val="0"/>
          <w:color w:val="000000"/>
          <w:spacing w:val="0"/>
          <w:u w:val="none"/>
        </w:rPr>
        <w:t> – Telephone: 01453 821 293 or email: yasemin@aegisuk.net</w:t>
      </w:r>
    </w:p>
    <w:p w14:paraId="37AAA227">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Whistleblowers should provide as much information as possible about the concern, including dates, names, and details of the alleged issue. They are not expected to prove the allegation but should have reasonable grounds to believe it is in the public interest.</w:t>
      </w:r>
    </w:p>
    <w:p w14:paraId="0D4E35CB">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Allegation</w:t>
      </w:r>
    </w:p>
    <w:p w14:paraId="3E973514">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Whether a report is made in writing or verbally, it is important that the whistleblower provides as much relevant information as possible, including:</w:t>
      </w:r>
    </w:p>
    <w:p w14:paraId="4D9FDC74">
      <w:pPr>
        <w:keepNext w:val="0"/>
        <w:keepLines w:val="0"/>
        <w:widowControl/>
        <w:numPr>
          <w:ilvl w:val="0"/>
          <w:numId w:val="4"/>
        </w:numPr>
        <w:suppressLineNumbers w:val="0"/>
        <w:spacing w:before="0" w:beforeAutospacing="1" w:after="0" w:afterAutospacing="1"/>
        <w:ind w:left="720" w:hanging="360"/>
      </w:pPr>
      <w:r>
        <w:rPr>
          <w:i w:val="0"/>
          <w:iCs w:val="0"/>
          <w:caps w:val="0"/>
          <w:color w:val="000000"/>
          <w:spacing w:val="0"/>
          <w:u w:val="none"/>
        </w:rPr>
        <w:t>Their name and a contact method (unless they wish to remain anonymous).</w:t>
      </w:r>
    </w:p>
    <w:p w14:paraId="09F06377">
      <w:pPr>
        <w:keepNext w:val="0"/>
        <w:keepLines w:val="0"/>
        <w:widowControl/>
        <w:numPr>
          <w:ilvl w:val="0"/>
          <w:numId w:val="4"/>
        </w:numPr>
        <w:suppressLineNumbers w:val="0"/>
        <w:spacing w:before="0" w:beforeAutospacing="1" w:after="0" w:afterAutospacing="1"/>
        <w:ind w:left="720" w:hanging="360"/>
      </w:pPr>
      <w:r>
        <w:rPr>
          <w:i w:val="0"/>
          <w:iCs w:val="0"/>
          <w:caps w:val="0"/>
          <w:color w:val="000000"/>
          <w:spacing w:val="0"/>
          <w:u w:val="none"/>
        </w:rPr>
        <w:t>The background and history of the allegation, including dates, names, and any relevant details of people involved.</w:t>
      </w:r>
    </w:p>
    <w:p w14:paraId="560F24EA">
      <w:pPr>
        <w:keepNext w:val="0"/>
        <w:keepLines w:val="0"/>
        <w:widowControl/>
        <w:numPr>
          <w:ilvl w:val="0"/>
          <w:numId w:val="4"/>
        </w:numPr>
        <w:suppressLineNumbers w:val="0"/>
        <w:spacing w:before="0" w:beforeAutospacing="1" w:after="0" w:afterAutospacing="1"/>
        <w:ind w:left="720" w:hanging="360"/>
      </w:pPr>
      <w:r>
        <w:rPr>
          <w:i w:val="0"/>
          <w:iCs w:val="0"/>
          <w:caps w:val="0"/>
          <w:color w:val="000000"/>
          <w:spacing w:val="0"/>
          <w:u w:val="none"/>
        </w:rPr>
        <w:t>The specific reason for raising the concern.</w:t>
      </w:r>
    </w:p>
    <w:p w14:paraId="50BD8AA5">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Whistleblowers are </w:t>
      </w:r>
      <w:r>
        <w:rPr>
          <w:rStyle w:val="15"/>
          <w:i w:val="0"/>
          <w:iCs w:val="0"/>
          <w:caps w:val="0"/>
          <w:color w:val="000000"/>
          <w:spacing w:val="0"/>
          <w:u w:val="none"/>
        </w:rPr>
        <w:t>not expected to prove the allegation</w:t>
      </w:r>
      <w:r>
        <w:rPr>
          <w:i w:val="0"/>
          <w:iCs w:val="0"/>
          <w:caps w:val="0"/>
          <w:color w:val="000000"/>
          <w:spacing w:val="0"/>
          <w:u w:val="none"/>
        </w:rPr>
        <w:t>, but they should provide enough information to show that there are reasonable grounds to believe the concern is in the public interest.</w:t>
      </w:r>
    </w:p>
    <w:p w14:paraId="47785794">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All allegations should be reported through one of the independent channels listed in the “Procedure for Making an Allegation” section (NSPCC, Protect, or AEGIS). These organisations will handle the investigation or refer it to the appropriate authority.</w:t>
      </w:r>
    </w:p>
    <w:p w14:paraId="368D5FDA">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Action on Receipt of an Allegation</w:t>
      </w:r>
    </w:p>
    <w:p w14:paraId="14DA814A">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As a single-director company, Gao Global Education Ltd does not have an internal line manager or separate investigators. Therefore, all allegations will be </w:t>
      </w:r>
      <w:r>
        <w:rPr>
          <w:rStyle w:val="15"/>
          <w:rFonts w:hint="default" w:ascii="Times New Roman Bold" w:hAnsi="Times New Roman Bold" w:cs="Times New Roman Bold"/>
          <w:b/>
          <w:bCs/>
          <w:i w:val="0"/>
          <w:iCs w:val="0"/>
          <w:caps w:val="0"/>
          <w:color w:val="953735" w:themeColor="accent2" w:themeShade="BF"/>
          <w:spacing w:val="0"/>
          <w:u w:val="none"/>
        </w:rPr>
        <w:t>handled through independent channels</w:t>
      </w:r>
      <w:r>
        <w:rPr>
          <w:rFonts w:hint="default" w:ascii="Times New Roman Bold" w:hAnsi="Times New Roman Bold" w:cs="Times New Roman Bold"/>
          <w:b/>
          <w:bCs/>
          <w:i w:val="0"/>
          <w:iCs w:val="0"/>
          <w:caps w:val="0"/>
          <w:color w:val="953735" w:themeColor="accent2" w:themeShade="BF"/>
          <w:spacing w:val="0"/>
          <w:u w:val="none"/>
        </w:rPr>
        <w:t> to ensure impartiality and confidentiality.</w:t>
      </w:r>
    </w:p>
    <w:p w14:paraId="25FD4E76">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Upon receipt of an allegation:</w:t>
      </w:r>
    </w:p>
    <w:p w14:paraId="01C82084">
      <w:pPr>
        <w:keepNext w:val="0"/>
        <w:keepLines w:val="0"/>
        <w:widowControl/>
        <w:numPr>
          <w:ilvl w:val="0"/>
          <w:numId w:val="5"/>
        </w:numPr>
        <w:suppressLineNumbers w:val="0"/>
        <w:spacing w:before="0" w:beforeAutospacing="1" w:after="0" w:afterAutospacing="1"/>
        <w:ind w:left="720" w:hanging="360"/>
      </w:pPr>
      <w:r>
        <w:rPr>
          <w:i w:val="0"/>
          <w:iCs w:val="0"/>
          <w:caps w:val="0"/>
          <w:color w:val="000000"/>
          <w:spacing w:val="0"/>
          <w:u w:val="none"/>
        </w:rPr>
        <w:t>The whistleblower should provide relevant information to one of the independent reporting channels listed in the Procedure for Making an Allegation (NSPCC, Protect, or AEGIS).</w:t>
      </w:r>
    </w:p>
    <w:p w14:paraId="4EA25D1C">
      <w:pPr>
        <w:keepNext w:val="0"/>
        <w:keepLines w:val="0"/>
        <w:widowControl/>
        <w:numPr>
          <w:ilvl w:val="0"/>
          <w:numId w:val="5"/>
        </w:numPr>
        <w:suppressLineNumbers w:val="0"/>
        <w:spacing w:before="0" w:beforeAutospacing="1" w:after="0" w:afterAutospacing="1"/>
        <w:ind w:left="720" w:hanging="360"/>
      </w:pPr>
      <w:r>
        <w:rPr>
          <w:i w:val="0"/>
          <w:iCs w:val="0"/>
          <w:caps w:val="0"/>
          <w:color w:val="000000"/>
          <w:spacing w:val="0"/>
          <w:u w:val="none"/>
        </w:rPr>
        <w:t>The organisation will </w:t>
      </w:r>
      <w:r>
        <w:rPr>
          <w:rStyle w:val="15"/>
          <w:i w:val="0"/>
          <w:iCs w:val="0"/>
          <w:caps w:val="0"/>
          <w:color w:val="000000"/>
          <w:spacing w:val="0"/>
          <w:u w:val="none"/>
        </w:rPr>
        <w:t>acknowledge receipt</w:t>
      </w:r>
      <w:r>
        <w:rPr>
          <w:i w:val="0"/>
          <w:iCs w:val="0"/>
          <w:caps w:val="0"/>
          <w:color w:val="000000"/>
          <w:spacing w:val="0"/>
          <w:u w:val="none"/>
        </w:rPr>
        <w:t> of the report via the external channel, where possible, and confirm that the concern will be handled confidentially.</w:t>
      </w:r>
    </w:p>
    <w:p w14:paraId="499F3ACF">
      <w:pPr>
        <w:keepNext w:val="0"/>
        <w:keepLines w:val="0"/>
        <w:widowControl/>
        <w:numPr>
          <w:ilvl w:val="0"/>
          <w:numId w:val="5"/>
        </w:numPr>
        <w:suppressLineNumbers w:val="0"/>
        <w:spacing w:before="0" w:beforeAutospacing="1" w:after="0" w:afterAutospacing="1"/>
        <w:ind w:left="720" w:hanging="360"/>
      </w:pPr>
      <w:r>
        <w:rPr>
          <w:i w:val="0"/>
          <w:iCs w:val="0"/>
          <w:caps w:val="0"/>
          <w:color w:val="000000"/>
          <w:spacing w:val="0"/>
          <w:u w:val="none"/>
        </w:rPr>
        <w:t>Any supporting documents provided by the whistleblower should be submitted securely through the chosen external channel.</w:t>
      </w:r>
    </w:p>
    <w:p w14:paraId="7E39FE33">
      <w:pPr>
        <w:keepNext w:val="0"/>
        <w:keepLines w:val="0"/>
        <w:widowControl/>
        <w:numPr>
          <w:ilvl w:val="0"/>
          <w:numId w:val="5"/>
        </w:numPr>
        <w:suppressLineNumbers w:val="0"/>
        <w:spacing w:before="0" w:beforeAutospacing="1" w:after="0" w:afterAutospacing="1"/>
        <w:ind w:left="720" w:hanging="360"/>
      </w:pPr>
      <w:r>
        <w:rPr>
          <w:i w:val="0"/>
          <w:iCs w:val="0"/>
          <w:caps w:val="0"/>
          <w:color w:val="000000"/>
          <w:spacing w:val="0"/>
          <w:u w:val="none"/>
        </w:rPr>
        <w:t>The whistleblower’s preferred method of communication will be respected to maintain confidentiality.</w:t>
      </w:r>
    </w:p>
    <w:p w14:paraId="729064D8">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If the allegation involves evidence of a criminal offence, fraud, or other serious misconduct, the external channel will liaise directly with the appropriate authorities (e.g., Police, Local Authority, or regulatory bodies) for investigation.</w:t>
      </w:r>
    </w:p>
    <w:p w14:paraId="15DEBC26">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All actions taken, and outcomes determined by the external channel, will be recorded in a confidential register, maintained by the CEO for audit purposes while preserving the whistleblower’s anonymity wherever possible.</w:t>
      </w:r>
    </w:p>
    <w:p w14:paraId="7651510E">
      <w:pPr>
        <w:pStyle w:val="4"/>
        <w:keepNext w:val="0"/>
        <w:keepLines w:val="0"/>
        <w:widowControl/>
        <w:suppressLineNumbers w:val="0"/>
        <w:ind w:left="0" w:firstLine="0"/>
        <w:rPr>
          <w:i w:val="0"/>
          <w:iCs w:val="0"/>
          <w:caps w:val="0"/>
          <w:color w:val="C00000"/>
          <w:spacing w:val="0"/>
          <w:u w:val="none"/>
        </w:rPr>
      </w:pPr>
      <w:r>
        <w:rPr>
          <w:i w:val="0"/>
          <w:iCs w:val="0"/>
          <w:caps w:val="0"/>
          <w:color w:val="C00000"/>
          <w:spacing w:val="0"/>
          <w:u w:val="none"/>
        </w:rPr>
        <w:t>Timetable</w:t>
      </w:r>
    </w:p>
    <w:p w14:paraId="502B0DE9">
      <w:pPr>
        <w:pStyle w:val="14"/>
        <w:keepNext w:val="0"/>
        <w:keepLines w:val="0"/>
        <w:widowControl/>
        <w:suppressLineNumbers w:val="0"/>
        <w:ind w:left="0" w:firstLine="0"/>
        <w:rPr>
          <w:rFonts w:hint="default" w:ascii="Times New Roman Bold" w:hAnsi="Times New Roman Bold" w:cs="Times New Roman Bold"/>
          <w:b/>
          <w:bCs/>
          <w:i w:val="0"/>
          <w:iCs w:val="0"/>
          <w:caps w:val="0"/>
          <w:color w:val="953735" w:themeColor="accent2" w:themeShade="BF"/>
          <w:spacing w:val="0"/>
          <w:u w:val="none"/>
        </w:rPr>
      </w:pPr>
      <w:r>
        <w:rPr>
          <w:rFonts w:hint="default" w:ascii="Times New Roman Bold" w:hAnsi="Times New Roman Bold" w:cs="Times New Roman Bold"/>
          <w:b/>
          <w:bCs/>
          <w:i w:val="0"/>
          <w:iCs w:val="0"/>
          <w:caps w:val="0"/>
          <w:color w:val="953735" w:themeColor="accent2" w:themeShade="BF"/>
          <w:spacing w:val="0"/>
          <w:u w:val="none"/>
        </w:rPr>
        <w:t>As a single-director company, Gao Global Education Ltd will rely on </w:t>
      </w:r>
      <w:r>
        <w:rPr>
          <w:rStyle w:val="15"/>
          <w:rFonts w:hint="default" w:ascii="Times New Roman Bold" w:hAnsi="Times New Roman Bold" w:cs="Times New Roman Bold"/>
          <w:b/>
          <w:bCs/>
          <w:i w:val="0"/>
          <w:iCs w:val="0"/>
          <w:caps w:val="0"/>
          <w:color w:val="953735" w:themeColor="accent2" w:themeShade="BF"/>
          <w:spacing w:val="0"/>
          <w:u w:val="none"/>
        </w:rPr>
        <w:t>independent reporting channels</w:t>
      </w:r>
      <w:r>
        <w:rPr>
          <w:rFonts w:hint="default" w:ascii="Times New Roman Bold" w:hAnsi="Times New Roman Bold" w:cs="Times New Roman Bold"/>
          <w:b/>
          <w:bCs/>
          <w:i w:val="0"/>
          <w:iCs w:val="0"/>
          <w:caps w:val="0"/>
          <w:color w:val="953735" w:themeColor="accent2" w:themeShade="BF"/>
          <w:spacing w:val="0"/>
          <w:u w:val="none"/>
        </w:rPr>
        <w:t> (NSPCC, Protect, AEGIS) to handle whistleblowing concerns.</w:t>
      </w:r>
    </w:p>
    <w:p w14:paraId="1C525199">
      <w:pPr>
        <w:keepNext w:val="0"/>
        <w:keepLines w:val="0"/>
        <w:widowControl/>
        <w:numPr>
          <w:ilvl w:val="0"/>
          <w:numId w:val="6"/>
        </w:numPr>
        <w:suppressLineNumbers w:val="0"/>
        <w:spacing w:before="0" w:beforeAutospacing="1" w:after="0" w:afterAutospacing="1"/>
        <w:ind w:left="720" w:hanging="360"/>
      </w:pPr>
      <w:r>
        <w:rPr>
          <w:i w:val="0"/>
          <w:iCs w:val="0"/>
          <w:caps w:val="0"/>
          <w:color w:val="000000"/>
          <w:spacing w:val="0"/>
          <w:u w:val="none"/>
        </w:rPr>
        <w:t>An acknowledgement of the allegation will be made by the external channel as soon as possible, ideally </w:t>
      </w:r>
      <w:r>
        <w:rPr>
          <w:rStyle w:val="15"/>
          <w:i w:val="0"/>
          <w:iCs w:val="0"/>
          <w:caps w:val="0"/>
          <w:color w:val="000000"/>
          <w:spacing w:val="0"/>
          <w:u w:val="none"/>
        </w:rPr>
        <w:t>within 10 working days</w:t>
      </w:r>
      <w:r>
        <w:rPr>
          <w:i w:val="0"/>
          <w:iCs w:val="0"/>
          <w:caps w:val="0"/>
          <w:color w:val="000000"/>
          <w:spacing w:val="0"/>
          <w:u w:val="none"/>
        </w:rPr>
        <w:t>.</w:t>
      </w:r>
    </w:p>
    <w:p w14:paraId="3F4C00D0">
      <w:pPr>
        <w:keepNext w:val="0"/>
        <w:keepLines w:val="0"/>
        <w:widowControl/>
        <w:numPr>
          <w:ilvl w:val="0"/>
          <w:numId w:val="6"/>
        </w:numPr>
        <w:suppressLineNumbers w:val="0"/>
        <w:spacing w:before="0" w:beforeAutospacing="1" w:after="0" w:afterAutospacing="1"/>
        <w:ind w:left="720" w:hanging="360"/>
      </w:pPr>
      <w:r>
        <w:rPr>
          <w:i w:val="0"/>
          <w:iCs w:val="0"/>
          <w:caps w:val="0"/>
          <w:color w:val="000000"/>
          <w:spacing w:val="0"/>
          <w:u w:val="none"/>
        </w:rPr>
        <w:t>The whistleblower will be informed, where possible, of:</w:t>
      </w:r>
      <w:r>
        <w:rPr>
          <w:i w:val="0"/>
          <w:iCs w:val="0"/>
          <w:caps w:val="0"/>
          <w:color w:val="000000"/>
          <w:spacing w:val="0"/>
          <w:u w:val="none"/>
        </w:rPr>
        <w:br w:type="textWrapping"/>
      </w:r>
      <w:r>
        <w:rPr>
          <w:i w:val="0"/>
          <w:iCs w:val="0"/>
          <w:caps w:val="0"/>
          <w:color w:val="000000"/>
          <w:spacing w:val="0"/>
          <w:u w:val="none"/>
        </w:rPr>
        <w:t>∙ How the concern will be addressed and which external body is handling it.</w:t>
      </w:r>
      <w:r>
        <w:rPr>
          <w:i w:val="0"/>
          <w:iCs w:val="0"/>
          <w:caps w:val="0"/>
          <w:color w:val="000000"/>
          <w:spacing w:val="0"/>
          <w:u w:val="none"/>
        </w:rPr>
        <w:br w:type="textWrapping"/>
      </w:r>
      <w:r>
        <w:rPr>
          <w:i w:val="0"/>
          <w:iCs w:val="0"/>
          <w:caps w:val="0"/>
          <w:color w:val="000000"/>
          <w:spacing w:val="0"/>
          <w:u w:val="none"/>
        </w:rPr>
        <w:t>∙ An estimate of the timeframe for any investigation or response.</w:t>
      </w:r>
      <w:r>
        <w:rPr>
          <w:i w:val="0"/>
          <w:iCs w:val="0"/>
          <w:caps w:val="0"/>
          <w:color w:val="000000"/>
          <w:spacing w:val="0"/>
          <w:u w:val="none"/>
        </w:rPr>
        <w:br w:type="textWrapping"/>
      </w:r>
      <w:r>
        <w:rPr>
          <w:i w:val="0"/>
          <w:iCs w:val="0"/>
          <w:caps w:val="0"/>
          <w:color w:val="000000"/>
          <w:spacing w:val="0"/>
          <w:u w:val="none"/>
        </w:rPr>
        <w:t>∙ Any initial actions that have been taken to safeguard individuals or information.</w:t>
      </w:r>
      <w:r>
        <w:rPr>
          <w:i w:val="0"/>
          <w:iCs w:val="0"/>
          <w:caps w:val="0"/>
          <w:color w:val="000000"/>
          <w:spacing w:val="0"/>
          <w:u w:val="none"/>
        </w:rPr>
        <w:br w:type="textWrapping"/>
      </w:r>
      <w:r>
        <w:rPr>
          <w:i w:val="0"/>
          <w:iCs w:val="0"/>
          <w:caps w:val="0"/>
          <w:color w:val="000000"/>
          <w:spacing w:val="0"/>
          <w:u w:val="none"/>
        </w:rPr>
        <w:t>∙ Support options available to the whistleblower.</w:t>
      </w:r>
      <w:r>
        <w:rPr>
          <w:i w:val="0"/>
          <w:iCs w:val="0"/>
          <w:caps w:val="0"/>
          <w:color w:val="000000"/>
          <w:spacing w:val="0"/>
          <w:u w:val="none"/>
        </w:rPr>
        <w:br w:type="textWrapping"/>
      </w:r>
      <w:r>
        <w:rPr>
          <w:i w:val="0"/>
          <w:iCs w:val="0"/>
          <w:caps w:val="0"/>
          <w:color w:val="000000"/>
          <w:spacing w:val="0"/>
          <w:u w:val="none"/>
        </w:rPr>
        <w:t xml:space="preserve">∙ Whether further investigation is planned, or if </w:t>
      </w:r>
      <w:bookmarkStart w:id="0" w:name="_GoBack"/>
      <w:bookmarkEnd w:id="0"/>
      <w:r>
        <w:rPr>
          <w:i w:val="0"/>
          <w:iCs w:val="0"/>
          <w:caps w:val="0"/>
          <w:color w:val="000000"/>
          <w:spacing w:val="0"/>
          <w:u w:val="none"/>
        </w:rPr>
        <w:t>not, the reasons why.</w:t>
      </w:r>
    </w:p>
    <w:p w14:paraId="0FC29C88">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Where an allegation is submitted </w:t>
      </w:r>
      <w:r>
        <w:rPr>
          <w:rStyle w:val="15"/>
          <w:i w:val="0"/>
          <w:iCs w:val="0"/>
          <w:caps w:val="0"/>
          <w:color w:val="000000"/>
          <w:spacing w:val="0"/>
          <w:u w:val="none"/>
        </w:rPr>
        <w:t>anonymously</w:t>
      </w:r>
      <w:r>
        <w:rPr>
          <w:i w:val="0"/>
          <w:iCs w:val="0"/>
          <w:caps w:val="0"/>
          <w:color w:val="000000"/>
          <w:spacing w:val="0"/>
          <w:u w:val="none"/>
        </w:rPr>
        <w:t>, it may not be possible to provide feedback to the whistleblower. Nevertheless, all allegations will still be considered seriously and addressed appropriately by the external channel.</w:t>
      </w:r>
    </w:p>
    <w:p w14:paraId="5640505D">
      <w:pPr>
        <w:pStyle w:val="14"/>
        <w:keepNext w:val="0"/>
        <w:keepLines w:val="0"/>
        <w:widowControl/>
        <w:suppressLineNumbers w:val="0"/>
        <w:ind w:left="0" w:firstLine="0"/>
        <w:rPr>
          <w:i w:val="0"/>
          <w:iCs w:val="0"/>
          <w:caps w:val="0"/>
          <w:color w:val="000000"/>
          <w:spacing w:val="0"/>
          <w:u w:val="none"/>
        </w:rPr>
      </w:pPr>
      <w:r>
        <w:rPr>
          <w:rStyle w:val="15"/>
          <w:i w:val="0"/>
          <w:iCs w:val="0"/>
          <w:caps w:val="0"/>
          <w:color w:val="C00000"/>
          <w:spacing w:val="0"/>
          <w:u w:val="none"/>
        </w:rPr>
        <w:t>Support</w:t>
      </w:r>
      <w:r>
        <w:rPr>
          <w:i w:val="0"/>
          <w:iCs w:val="0"/>
          <w:caps w:val="0"/>
          <w:color w:val="000000"/>
          <w:spacing w:val="0"/>
          <w:u w:val="none"/>
        </w:rPr>
        <w:br w:type="textWrapping"/>
      </w:r>
      <w:r>
        <w:rPr>
          <w:i w:val="0"/>
          <w:iCs w:val="0"/>
          <w:caps w:val="0"/>
          <w:color w:val="000000"/>
          <w:spacing w:val="0"/>
          <w:u w:val="none"/>
        </w:rPr>
        <w:t>Gao Global Education Ltd recognises that making a whistleblowing report can be stressful. Although the company is led by a single director, steps will be taken to support anyone raising a concern. This includes:</w:t>
      </w:r>
    </w:p>
    <w:p w14:paraId="50A3A5AF">
      <w:pPr>
        <w:keepNext w:val="0"/>
        <w:keepLines w:val="0"/>
        <w:widowControl/>
        <w:numPr>
          <w:ilvl w:val="0"/>
          <w:numId w:val="7"/>
        </w:numPr>
        <w:suppressLineNumbers w:val="0"/>
        <w:spacing w:before="0" w:beforeAutospacing="1" w:after="0" w:afterAutospacing="1"/>
        <w:ind w:left="720" w:hanging="360"/>
      </w:pPr>
      <w:r>
        <w:rPr>
          <w:i w:val="0"/>
          <w:iCs w:val="0"/>
          <w:caps w:val="0"/>
          <w:color w:val="000000"/>
          <w:spacing w:val="0"/>
          <w:u w:val="none"/>
        </w:rPr>
        <w:t>Providing information and guidance on the whistleblowing process.</w:t>
      </w:r>
    </w:p>
    <w:p w14:paraId="357E3070">
      <w:pPr>
        <w:keepNext w:val="0"/>
        <w:keepLines w:val="0"/>
        <w:widowControl/>
        <w:numPr>
          <w:ilvl w:val="0"/>
          <w:numId w:val="7"/>
        </w:numPr>
        <w:suppressLineNumbers w:val="0"/>
        <w:spacing w:before="0" w:beforeAutospacing="1" w:after="0" w:afterAutospacing="1"/>
        <w:ind w:left="720" w:hanging="360"/>
      </w:pPr>
      <w:r>
        <w:rPr>
          <w:i w:val="0"/>
          <w:iCs w:val="0"/>
          <w:caps w:val="0"/>
          <w:color w:val="000000"/>
          <w:spacing w:val="0"/>
          <w:u w:val="none"/>
        </w:rPr>
        <w:t>Advising on available external support, such as NSPCC, Protect, or AEGIS.</w:t>
      </w:r>
    </w:p>
    <w:p w14:paraId="0228C99F">
      <w:pPr>
        <w:keepNext w:val="0"/>
        <w:keepLines w:val="0"/>
        <w:widowControl/>
        <w:numPr>
          <w:ilvl w:val="0"/>
          <w:numId w:val="7"/>
        </w:numPr>
        <w:suppressLineNumbers w:val="0"/>
        <w:spacing w:before="0" w:beforeAutospacing="1" w:after="0" w:afterAutospacing="1"/>
        <w:ind w:left="720" w:hanging="360"/>
      </w:pPr>
      <w:r>
        <w:rPr>
          <w:i w:val="0"/>
          <w:iCs w:val="0"/>
          <w:caps w:val="0"/>
          <w:color w:val="000000"/>
          <w:spacing w:val="0"/>
          <w:u w:val="none"/>
        </w:rPr>
        <w:t>Ensuring that individuals who raise concerns are kept informed, as far as legally possible, about the progress and outcome of any investigation.</w:t>
      </w:r>
    </w:p>
    <w:p w14:paraId="3CAF563E">
      <w:pPr>
        <w:pStyle w:val="14"/>
        <w:keepNext w:val="0"/>
        <w:keepLines w:val="0"/>
        <w:widowControl/>
        <w:suppressLineNumbers w:val="0"/>
        <w:ind w:left="0" w:firstLine="0"/>
        <w:rPr>
          <w:i w:val="0"/>
          <w:iCs w:val="0"/>
          <w:caps w:val="0"/>
          <w:color w:val="000000"/>
          <w:spacing w:val="0"/>
          <w:u w:val="none"/>
        </w:rPr>
      </w:pPr>
      <w:r>
        <w:rPr>
          <w:i w:val="0"/>
          <w:iCs w:val="0"/>
          <w:caps w:val="0"/>
          <w:color w:val="000000"/>
          <w:spacing w:val="0"/>
          <w:u w:val="none"/>
        </w:rPr>
        <w:t>Gao Global Education Ltd is committed to handling all reports seriously and sensitively, and will take all reasonable steps to ensure that whistleblowers are not disadvantaged or subjected to any detriment.</w:t>
      </w:r>
    </w:p>
    <w:p w14:paraId="25DD80D0">
      <w:pPr>
        <w:pStyle w:val="14"/>
        <w:keepNext w:val="0"/>
        <w:keepLines w:val="0"/>
        <w:widowControl/>
        <w:suppressLineNumbers w:val="0"/>
      </w:pPr>
      <w:r>
        <w:rPr>
          <w:rStyle w:val="15"/>
          <w:i w:val="0"/>
          <w:iCs w:val="0"/>
          <w:caps w:val="0"/>
          <w:color w:val="C00000"/>
          <w:spacing w:val="0"/>
          <w:u w:val="none"/>
        </w:rPr>
        <w:t>Responsibility for the Procedure</w:t>
      </w:r>
      <w:r>
        <w:rPr>
          <w:i w:val="0"/>
          <w:iCs w:val="0"/>
          <w:caps w:val="0"/>
          <w:color w:val="000000"/>
          <w:spacing w:val="0"/>
          <w:u w:val="none"/>
        </w:rPr>
        <w:br w:type="textWrapping"/>
      </w:r>
      <w:r>
        <w:rPr>
          <w:i w:val="0"/>
          <w:iCs w:val="0"/>
          <w:caps w:val="0"/>
          <w:color w:val="000000"/>
          <w:spacing w:val="0"/>
          <w:u w:val="none"/>
        </w:rPr>
        <w:t>The CEO (Liping Hardy) has overall responsibility for the operation of this procedure, including maintaining records and ensuring that all whistleblowing reports are handled appropriately and in line with this policy.</w:t>
      </w:r>
    </w:p>
    <w:p w14:paraId="3573279B">
      <w:pPr>
        <w:pStyle w:val="14"/>
        <w:keepNext w:val="0"/>
        <w:keepLines w:val="0"/>
        <w:widowControl/>
        <w:suppressLineNumbers w:val="0"/>
      </w:pPr>
      <w:r>
        <w:rPr>
          <w:rStyle w:val="15"/>
          <w:i w:val="0"/>
          <w:iCs w:val="0"/>
          <w:caps w:val="0"/>
          <w:color w:val="C00000"/>
          <w:spacing w:val="0"/>
          <w:u w:val="none"/>
        </w:rPr>
        <w:t>Monitoring</w:t>
      </w:r>
      <w:r>
        <w:rPr>
          <w:i w:val="0"/>
          <w:iCs w:val="0"/>
          <w:caps w:val="0"/>
          <w:color w:val="000000"/>
          <w:spacing w:val="0"/>
          <w:u w:val="none"/>
        </w:rPr>
        <w:br w:type="textWrapping"/>
      </w:r>
      <w:r>
        <w:rPr>
          <w:i w:val="0"/>
          <w:iCs w:val="0"/>
          <w:caps w:val="0"/>
          <w:color w:val="000000"/>
          <w:spacing w:val="0"/>
          <w:u w:val="none"/>
        </w:rPr>
        <w:t>A confidential register will be kept to record the following details:</w:t>
      </w:r>
    </w:p>
    <w:p w14:paraId="02824FF5">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The name and status (e.g. employee, contractor, associate) of the whistleblower</w:t>
      </w:r>
    </w:p>
    <w:p w14:paraId="33C24033">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The date the allegation was received</w:t>
      </w:r>
    </w:p>
    <w:p w14:paraId="6F958B69">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The nature of the allegation</w:t>
      </w:r>
    </w:p>
    <w:p w14:paraId="172CF995">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Details of the person who received the allegation (if different from the CEO)</w:t>
      </w:r>
    </w:p>
    <w:p w14:paraId="6B4C5B88">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Whether the allegation is to be investigated, and if so, by whom</w:t>
      </w:r>
    </w:p>
    <w:p w14:paraId="6D1B11A3">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The outcome of any investigation</w:t>
      </w:r>
    </w:p>
    <w:p w14:paraId="6E6B1800">
      <w:pPr>
        <w:keepNext w:val="0"/>
        <w:keepLines w:val="0"/>
        <w:widowControl/>
        <w:numPr>
          <w:ilvl w:val="0"/>
          <w:numId w:val="8"/>
        </w:numPr>
        <w:suppressLineNumbers w:val="0"/>
        <w:spacing w:before="0" w:beforeAutospacing="1" w:after="0" w:afterAutospacing="1"/>
        <w:ind w:left="720" w:hanging="360"/>
      </w:pPr>
      <w:r>
        <w:rPr>
          <w:i w:val="0"/>
          <w:iCs w:val="0"/>
          <w:caps w:val="0"/>
          <w:color w:val="000000"/>
          <w:spacing w:val="0"/>
          <w:u w:val="none"/>
        </w:rPr>
        <w:t>Any other relevant information</w:t>
      </w:r>
    </w:p>
    <w:p w14:paraId="0E40F3F7">
      <w:pPr>
        <w:pStyle w:val="14"/>
        <w:keepNext w:val="0"/>
        <w:keepLines w:val="0"/>
        <w:widowControl/>
        <w:suppressLineNumbers w:val="0"/>
      </w:pPr>
      <w:r>
        <w:rPr>
          <w:i w:val="0"/>
          <w:iCs w:val="0"/>
          <w:caps w:val="0"/>
          <w:color w:val="000000"/>
          <w:spacing w:val="0"/>
          <w:u w:val="none"/>
        </w:rPr>
        <w:t>This register will be securely maintained by the CEO and will only be accessible to them.</w:t>
      </w:r>
    </w:p>
    <w:p w14:paraId="65F93C40">
      <w:pPr>
        <w:pStyle w:val="14"/>
        <w:keepNext w:val="0"/>
        <w:keepLines w:val="0"/>
        <w:widowControl/>
        <w:suppressLineNumbers w:val="0"/>
      </w:pPr>
      <w:r>
        <w:rPr>
          <w:i w:val="0"/>
          <w:iCs w:val="0"/>
          <w:caps w:val="0"/>
          <w:color w:val="000000"/>
          <w:spacing w:val="0"/>
          <w:u w:val="none"/>
        </w:rPr>
        <w:t>Further guidance can be found here: </w:t>
      </w:r>
      <w:r>
        <w:rPr>
          <w:i w:val="0"/>
          <w:iCs w:val="0"/>
          <w:caps w:val="0"/>
          <w:spacing w:val="0"/>
          <w:u w:val="none"/>
        </w:rPr>
        <w:fldChar w:fldCharType="begin"/>
      </w:r>
      <w:r>
        <w:rPr>
          <w:i w:val="0"/>
          <w:iCs w:val="0"/>
          <w:caps w:val="0"/>
          <w:spacing w:val="0"/>
          <w:u w:val="none"/>
        </w:rPr>
        <w:instrText xml:space="preserve"> HYPERLINK "https://www.gov.uk/whistleblowing" \t "/Users/lipinghardy/Desktop/x/_new" </w:instrText>
      </w:r>
      <w:r>
        <w:rPr>
          <w:i w:val="0"/>
          <w:iCs w:val="0"/>
          <w:caps w:val="0"/>
          <w:spacing w:val="0"/>
          <w:u w:val="none"/>
        </w:rPr>
        <w:fldChar w:fldCharType="separate"/>
      </w:r>
      <w:r>
        <w:rPr>
          <w:rStyle w:val="13"/>
          <w:i w:val="0"/>
          <w:iCs w:val="0"/>
          <w:caps w:val="0"/>
          <w:spacing w:val="0"/>
          <w:u w:val="none"/>
        </w:rPr>
        <w:t>Whistleblowing for employees: What is a whistleblower - GOV.UK</w:t>
      </w:r>
      <w:r>
        <w:rPr>
          <w:i w:val="0"/>
          <w:iCs w:val="0"/>
          <w:caps w:val="0"/>
          <w:spacing w:val="0"/>
          <w:u w:val="none"/>
        </w:rPr>
        <w:fldChar w:fldCharType="end"/>
      </w:r>
      <w:r>
        <w:rPr>
          <w:i w:val="0"/>
          <w:iCs w:val="0"/>
          <w:caps w:val="0"/>
          <w:color w:val="000000"/>
          <w:spacing w:val="0"/>
          <w:u w:val="none"/>
        </w:rPr>
        <w:t>.</w:t>
      </w:r>
    </w:p>
    <w:p w14:paraId="35BFF691">
      <w:pPr>
        <w:keepNext w:val="0"/>
        <w:keepLines w:val="0"/>
        <w:widowControl/>
        <w:suppressLineNumbers w:val="0"/>
      </w:pPr>
      <w:r>
        <w:pict>
          <v:rect id="_x0000_i1025" o:spt="1" style="height:1.5pt;width:432pt;" fillcolor="#A0A0A0" filled="t" stroked="f" coordsize="21600,21600" o:hr="t" o:hrstd="t" o:hralign="center">
            <v:path/>
            <v:fill on="t" focussize="0,0"/>
            <v:stroke on="f"/>
            <v:imagedata o:title=""/>
            <o:lock v:ext="edit"/>
            <w10:wrap type="none"/>
            <w10:anchorlock/>
          </v:rect>
        </w:pict>
      </w:r>
    </w:p>
    <w:p w14:paraId="6CC49308">
      <w:pPr>
        <w:pStyle w:val="14"/>
        <w:keepNext w:val="0"/>
        <w:keepLines w:val="0"/>
        <w:widowControl/>
        <w:suppressLineNumbers w:val="0"/>
        <w:rPr>
          <w:color w:val="C00000"/>
        </w:rPr>
      </w:pPr>
      <w:r>
        <w:rPr>
          <w:rStyle w:val="15"/>
          <w:i w:val="0"/>
          <w:iCs w:val="0"/>
          <w:caps w:val="0"/>
          <w:color w:val="C00000"/>
          <w:spacing w:val="0"/>
          <w:u w:val="none"/>
        </w:rPr>
        <w:t>Whistleblowing Contact Details</w:t>
      </w:r>
    </w:p>
    <w:p w14:paraId="18D658E1">
      <w:pPr>
        <w:pStyle w:val="14"/>
        <w:keepNext w:val="0"/>
        <w:keepLines w:val="0"/>
        <w:widowControl/>
        <w:suppressLineNumbers w:val="0"/>
      </w:pPr>
      <w:r>
        <w:rPr>
          <w:i w:val="0"/>
          <w:iCs w:val="0"/>
          <w:caps w:val="0"/>
          <w:color w:val="000000"/>
          <w:spacing w:val="0"/>
          <w:u w:val="none"/>
        </w:rPr>
        <w:t>Whistleblowers should direct their concerns to:</w:t>
      </w:r>
    </w:p>
    <w:p w14:paraId="1927ABAB">
      <w:pPr>
        <w:pStyle w:val="14"/>
        <w:keepNext w:val="0"/>
        <w:keepLines w:val="0"/>
        <w:widowControl/>
        <w:suppressLineNumbers w:val="0"/>
      </w:pPr>
      <w:r>
        <w:rPr>
          <w:rStyle w:val="15"/>
          <w:i w:val="0"/>
          <w:iCs w:val="0"/>
          <w:caps w:val="0"/>
          <w:color w:val="000000"/>
          <w:spacing w:val="0"/>
          <w:u w:val="none"/>
        </w:rPr>
        <w:t>Name:</w:t>
      </w:r>
      <w:r>
        <w:rPr>
          <w:i w:val="0"/>
          <w:iCs w:val="0"/>
          <w:caps w:val="0"/>
          <w:color w:val="000000"/>
          <w:spacing w:val="0"/>
          <w:u w:val="none"/>
        </w:rPr>
        <w:t> LIPING Hardy</w:t>
      </w:r>
      <w:r>
        <w:rPr>
          <w:i w:val="0"/>
          <w:iCs w:val="0"/>
          <w:caps w:val="0"/>
          <w:color w:val="000000"/>
          <w:spacing w:val="0"/>
          <w:u w:val="none"/>
        </w:rPr>
        <w:br w:type="textWrapping"/>
      </w:r>
      <w:r>
        <w:rPr>
          <w:rStyle w:val="15"/>
          <w:i w:val="0"/>
          <w:iCs w:val="0"/>
          <w:caps w:val="0"/>
          <w:color w:val="000000"/>
          <w:spacing w:val="0"/>
          <w:u w:val="none"/>
        </w:rPr>
        <w:t>Job Title:</w:t>
      </w:r>
      <w:r>
        <w:rPr>
          <w:i w:val="0"/>
          <w:iCs w:val="0"/>
          <w:caps w:val="0"/>
          <w:color w:val="000000"/>
          <w:spacing w:val="0"/>
          <w:u w:val="none"/>
        </w:rPr>
        <w:t> CEO</w:t>
      </w:r>
      <w:r>
        <w:rPr>
          <w:i w:val="0"/>
          <w:iCs w:val="0"/>
          <w:caps w:val="0"/>
          <w:color w:val="000000"/>
          <w:spacing w:val="0"/>
          <w:u w:val="none"/>
        </w:rPr>
        <w:br w:type="textWrapping"/>
      </w:r>
      <w:r>
        <w:rPr>
          <w:rStyle w:val="15"/>
          <w:i w:val="0"/>
          <w:iCs w:val="0"/>
          <w:caps w:val="0"/>
          <w:color w:val="000000"/>
          <w:spacing w:val="0"/>
          <w:u w:val="none"/>
        </w:rPr>
        <w:t>Organisation:</w:t>
      </w:r>
      <w:r>
        <w:rPr>
          <w:i w:val="0"/>
          <w:iCs w:val="0"/>
          <w:caps w:val="0"/>
          <w:color w:val="000000"/>
          <w:spacing w:val="0"/>
          <w:u w:val="none"/>
        </w:rPr>
        <w:t> Gao Global Education Ltd</w:t>
      </w:r>
      <w:r>
        <w:rPr>
          <w:i w:val="0"/>
          <w:iCs w:val="0"/>
          <w:caps w:val="0"/>
          <w:color w:val="000000"/>
          <w:spacing w:val="0"/>
          <w:u w:val="none"/>
        </w:rPr>
        <w:br w:type="textWrapping"/>
      </w:r>
      <w:r>
        <w:rPr>
          <w:rStyle w:val="15"/>
          <w:i w:val="0"/>
          <w:iCs w:val="0"/>
          <w:caps w:val="0"/>
          <w:color w:val="000000"/>
          <w:spacing w:val="0"/>
          <w:u w:val="none"/>
        </w:rPr>
        <w:t>Telephone:</w:t>
      </w:r>
      <w:r>
        <w:rPr>
          <w:i w:val="0"/>
          <w:iCs w:val="0"/>
          <w:caps w:val="0"/>
          <w:color w:val="000000"/>
          <w:spacing w:val="0"/>
          <w:u w:val="none"/>
        </w:rPr>
        <w:t> 07723 007588</w:t>
      </w:r>
    </w:p>
    <w:p w14:paraId="319885B5">
      <w:pPr>
        <w:pStyle w:val="3"/>
        <w:rPr>
          <w:rFonts w:ascii="Calibri" w:hAnsi="Calibri" w:eastAsia="Calibri" w:cs="Calibri"/>
          <w:color w:val="C00000"/>
        </w:rPr>
      </w:pPr>
      <w:r>
        <w:rPr>
          <w:rFonts w:ascii="Calibri" w:hAnsi="Calibri" w:eastAsia="Calibri" w:cs="Calibri"/>
          <w:color w:val="C00000"/>
        </w:rPr>
        <w:t>Review</w:t>
      </w:r>
    </w:p>
    <w:p w14:paraId="434E4C3E">
      <w:r>
        <w:t>We are committed to reviewing our policy and good practice annually.</w:t>
      </w:r>
    </w:p>
    <w:p w14:paraId="2DCFB80C">
      <w:r>
        <w:t xml:space="preserve">This whistleblowing policy was last reviewed on: </w:t>
      </w:r>
    </w:p>
    <w:p w14:paraId="14D46FD1">
      <w:r>
        <w:t>…………</w:t>
      </w:r>
      <w:r>
        <w:rPr>
          <w:i/>
          <w:iCs/>
        </w:rPr>
        <w:t>……</w:t>
      </w:r>
      <w:r>
        <w:rPr>
          <w:rFonts w:hint="eastAsia" w:eastAsia="SimSun"/>
          <w:i/>
          <w:iCs/>
          <w:lang w:val="en-US" w:eastAsia="zh-CN"/>
        </w:rPr>
        <w:t>13</w:t>
      </w:r>
      <w:r>
        <w:rPr>
          <w:rFonts w:hint="eastAsia" w:eastAsia="SimSun"/>
          <w:i/>
          <w:iCs/>
          <w:vertAlign w:val="superscript"/>
          <w:lang w:val="en-US" w:eastAsia="zh-CN"/>
        </w:rPr>
        <w:t>th</w:t>
      </w:r>
      <w:r>
        <w:rPr>
          <w:rFonts w:hint="eastAsia" w:eastAsia="SimSun"/>
          <w:i/>
          <w:iCs/>
          <w:lang w:val="en-US" w:eastAsia="zh-CN"/>
        </w:rPr>
        <w:t xml:space="preserve"> Feb  2026</w:t>
      </w:r>
      <w:r>
        <w:t>………………………………………(date)</w:t>
      </w:r>
    </w:p>
    <w:p w14:paraId="34D25508">
      <w:r>
        <w:t>Signed: ………………</w:t>
      </w:r>
      <w:r>
        <w:rPr>
          <w:i/>
          <w:iCs/>
        </w:rPr>
        <w:t>…</w:t>
      </w:r>
      <w:r>
        <w:rPr>
          <w:rFonts w:hint="eastAsia" w:eastAsia="SimSun"/>
          <w:i/>
          <w:iCs/>
          <w:lang w:val="en-US" w:eastAsia="zh-CN"/>
        </w:rPr>
        <w:t xml:space="preserve">Liping Hardy </w:t>
      </w:r>
      <w:r>
        <w:t>………………………………………………</w:t>
      </w:r>
    </w:p>
    <w:p w14:paraId="1FBA102F">
      <w:pPr>
        <w:shd w:val="clear" w:color="auto" w:fill="FFFFFF"/>
        <w:spacing w:after="150"/>
        <w:jc w:val="both"/>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ECC9F90-F082-BA58-089F-CD69E99C4BCC}"/>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EF78463F-D693-BDED-089F-CD6976D973AC}"/>
  </w:font>
  <w:font w:name="等线">
    <w:altName w:val="苹方-简"/>
    <w:panose1 w:val="00000000000000000000"/>
    <w:charset w:val="86"/>
    <w:family w:val="auto"/>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3" w:fontKey="{39095F65-ADF3-DC0C-089F-CD695F47F6EE}"/>
  </w:font>
  <w:font w:name="Symbol">
    <w:altName w:val="Kingsoft Sign"/>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 w:name="Times New Roman Bold">
    <w:panose1 w:val="02020503050405090304"/>
    <w:charset w:val="00"/>
    <w:family w:val="auto"/>
    <w:pitch w:val="default"/>
    <w:sig w:usb0="E0000AFF" w:usb1="00007843" w:usb2="00000001" w:usb3="00000000" w:csb0="400001BF" w:csb1="DFF70000"/>
    <w:embedRegular r:id="rId4" w:fontKey="{D51A67CE-8F34-BF16-089F-CD696CF42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5DEEA">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1AD5768D">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sz w:val="16"/>
        <w:szCs w:val="16"/>
      </w:rPr>
    </w:pPr>
    <w:r>
      <w:rPr>
        <w:color w:val="000000"/>
        <w:sz w:val="16"/>
        <w:szCs w:val="16"/>
      </w:rPr>
      <w:t xml:space="preserve">This template must be amended to reflect the procedures of the guardianship organisation and adoption of the policy is strictly at the user’s own risk. AEGIS accepts no responsibility for any losses caused as a result of a guardianship organisation using this example policy.  Policies are not to be resold or reproduced by other organisations. </w:t>
    </w:r>
  </w:p>
  <w:p w14:paraId="0A31B3E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sz w:val="16"/>
        <w:szCs w:val="16"/>
      </w:rPr>
    </w:pPr>
    <w:r>
      <w:rPr>
        <w:color w:val="000000"/>
        <w:sz w:val="16"/>
        <w:szCs w:val="16"/>
      </w:rPr>
      <w:t>© AEGIS 2025.</w:t>
    </w:r>
  </w:p>
  <w:p w14:paraId="2FCF4CA2">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2BF44">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8073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0CD51">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5323840</wp:posOffset>
          </wp:positionH>
          <wp:positionV relativeFrom="paragraph">
            <wp:posOffset>-258445</wp:posOffset>
          </wp:positionV>
          <wp:extent cx="1025525" cy="5568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0BE3C">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945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974DE4"/>
    <w:multiLevelType w:val="multilevel"/>
    <w:tmpl w:val="CF974DE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E66E38D0"/>
    <w:multiLevelType w:val="multilevel"/>
    <w:tmpl w:val="E66E38D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FC8BEC50"/>
    <w:multiLevelType w:val="multilevel"/>
    <w:tmpl w:val="FC8BEC5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FD96FD1E"/>
    <w:multiLevelType w:val="multilevel"/>
    <w:tmpl w:val="FD96FD1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FD9DFFBD"/>
    <w:multiLevelType w:val="multilevel"/>
    <w:tmpl w:val="FD9DFFB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5">
    <w:nsid w:val="FFFA546D"/>
    <w:multiLevelType w:val="multilevel"/>
    <w:tmpl w:val="FFFA546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6">
    <w:nsid w:val="3FDEAB6E"/>
    <w:multiLevelType w:val="multilevel"/>
    <w:tmpl w:val="3FDEAB6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7">
    <w:nsid w:val="7F7D53DD"/>
    <w:multiLevelType w:val="multilevel"/>
    <w:tmpl w:val="7F7D53D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7"/>
  </w:num>
  <w:num w:numId="2">
    <w:abstractNumId w:val="3"/>
  </w:num>
  <w:num w:numId="3">
    <w:abstractNumId w:val="6"/>
  </w:num>
  <w:num w:numId="4">
    <w:abstractNumId w:val="2"/>
  </w:num>
  <w:num w:numId="5">
    <w:abstractNumId w:val="0"/>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NotDisplayPageBoundaries w:val="1"/>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BF"/>
    <w:rsid w:val="000103C5"/>
    <w:rsid w:val="00046F9C"/>
    <w:rsid w:val="001656BF"/>
    <w:rsid w:val="00415170"/>
    <w:rsid w:val="007225C5"/>
    <w:rsid w:val="00897A55"/>
    <w:rsid w:val="00B600C7"/>
    <w:rsid w:val="00CA4F14"/>
    <w:rsid w:val="5F2F10F5"/>
    <w:rsid w:val="77BB697F"/>
    <w:rsid w:val="F72F8BBF"/>
    <w:rsid w:val="F9FF98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5"/>
    <w:semiHidden/>
    <w:unhideWhenUsed/>
    <w:uiPriority w:val="99"/>
    <w:pPr>
      <w:spacing w:after="0" w:line="240" w:lineRule="auto"/>
    </w:pPr>
    <w:rPr>
      <w:rFonts w:ascii="Tahoma" w:hAnsi="Tahoma" w:cs="Tahoma"/>
      <w:sz w:val="16"/>
      <w:szCs w:val="16"/>
    </w:rPr>
  </w:style>
  <w:style w:type="paragraph" w:styleId="11">
    <w:name w:val="footer"/>
    <w:basedOn w:val="1"/>
    <w:link w:val="24"/>
    <w:unhideWhenUsed/>
    <w:uiPriority w:val="99"/>
    <w:pPr>
      <w:tabs>
        <w:tab w:val="center" w:pos="4513"/>
        <w:tab w:val="right" w:pos="9026"/>
      </w:tabs>
      <w:spacing w:after="0" w:line="240" w:lineRule="auto"/>
    </w:pPr>
  </w:style>
  <w:style w:type="paragraph" w:styleId="12">
    <w:name w:val="header"/>
    <w:basedOn w:val="1"/>
    <w:link w:val="23"/>
    <w:unhideWhenUsed/>
    <w:uiPriority w:val="99"/>
    <w:pPr>
      <w:tabs>
        <w:tab w:val="center" w:pos="4513"/>
        <w:tab w:val="right" w:pos="9026"/>
      </w:tabs>
      <w:spacing w:after="0" w:line="240" w:lineRule="auto"/>
    </w:pPr>
  </w:style>
  <w:style w:type="character" w:styleId="13">
    <w:name w:val="Hyperlink"/>
    <w:basedOn w:val="8"/>
    <w:unhideWhenUsed/>
    <w:uiPriority w:val="99"/>
    <w:rPr>
      <w:color w:val="0000FF" w:themeColor="hyperlink"/>
      <w:u w:val="single"/>
      <w14:textFill>
        <w14:solidFill>
          <w14:schemeClr w14:val="hlink"/>
        </w14:solidFill>
      </w14:textFill>
    </w:rPr>
  </w:style>
  <w:style w:type="paragraph" w:styleId="14">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5">
    <w:name w:val="Strong"/>
    <w:basedOn w:val="8"/>
    <w:qFormat/>
    <w:uiPriority w:val="22"/>
    <w:rPr>
      <w:b/>
      <w:bCs/>
    </w:rPr>
  </w:style>
  <w:style w:type="paragraph" w:styleId="16">
    <w:name w:val="Subtitle"/>
    <w:basedOn w:val="1"/>
    <w:next w:val="1"/>
    <w:link w:val="21"/>
    <w:qFormat/>
    <w:uiPriority w:val="11"/>
    <w:rPr>
      <w:rFonts w:ascii="Cambria" w:hAnsi="Cambria" w:eastAsia="Cambria" w:cs="Cambria"/>
      <w:i/>
      <w:color w:val="4F81BD"/>
      <w:sz w:val="24"/>
      <w:szCs w:val="24"/>
    </w:rPr>
  </w:style>
  <w:style w:type="paragraph" w:styleId="17">
    <w:name w:val="Title"/>
    <w:basedOn w:val="1"/>
    <w:next w:val="1"/>
    <w:link w:val="2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8">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19">
    <w:name w:val="List Paragraph"/>
    <w:basedOn w:val="1"/>
    <w:qFormat/>
    <w:uiPriority w:val="34"/>
    <w:pPr>
      <w:ind w:left="720"/>
      <w:contextualSpacing/>
    </w:pPr>
  </w:style>
  <w:style w:type="character" w:customStyle="1" w:styleId="20">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1">
    <w:name w:val="Subtitle Char"/>
    <w:basedOn w:val="8"/>
    <w:link w:val="1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2">
    <w:name w:val="Title Char"/>
    <w:basedOn w:val="8"/>
    <w:link w:val="17"/>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3">
    <w:name w:val="Header Char"/>
    <w:basedOn w:val="8"/>
    <w:link w:val="12"/>
    <w:uiPriority w:val="99"/>
  </w:style>
  <w:style w:type="character" w:customStyle="1" w:styleId="24">
    <w:name w:val="Footer Char"/>
    <w:basedOn w:val="8"/>
    <w:link w:val="11"/>
    <w:uiPriority w:val="99"/>
  </w:style>
  <w:style w:type="character" w:customStyle="1" w:styleId="25">
    <w:name w:val="Balloon Text Char"/>
    <w:basedOn w:val="8"/>
    <w:link w:val="10"/>
    <w:semiHidden/>
    <w:uiPriority w:val="99"/>
    <w:rPr>
      <w:rFonts w:ascii="Tahoma" w:hAnsi="Tahoma" w:cs="Tahoma"/>
      <w:sz w:val="16"/>
      <w:szCs w:val="16"/>
    </w:rPr>
  </w:style>
  <w:style w:type="paragraph" w:customStyle="1" w:styleId="26">
    <w:name w:val="Revision"/>
    <w:hidden/>
    <w:semiHidden/>
    <w:uiPriority w:val="99"/>
    <w:pPr>
      <w:spacing w:after="0" w:line="240" w:lineRule="auto"/>
    </w:pPr>
    <w:rPr>
      <w:rFonts w:ascii="Calibri" w:hAnsi="Calibri" w:eastAsia="Calibri" w:cs="Calibri"/>
      <w:sz w:val="22"/>
      <w:szCs w:val="22"/>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hQKJaLV+2A4LejRI0DyGz+RFIiQ==">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</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6</Pages>
  <Words>1429</Words>
  <Characters>8148</Characters>
  <Lines>67</Lines>
  <Paragraphs>19</Paragraphs>
  <TotalTime>69</TotalTime>
  <ScaleCrop>false</ScaleCrop>
  <LinksUpToDate>false</LinksUpToDate>
  <CharactersWithSpaces>9558</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2025-09-10T19:43:00Z</dcterms:created>
  <dc:creator>Jackie</dc:creator>
  <cp:lastModifiedBy>HardyLiping</cp:lastModifiedBy>
  <dcterms:modified xsi:type="dcterms:W3CDTF">2026-04-01T23:41:12Z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35806E17D7046CAD8849CD69C79A2BFF_43</vt:lpwstr>
  </property>
</Properties>
</file>