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F4592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GUARDIANSHIP SERVICE AGREEMENT (UK)</w:t>
      </w:r>
    </w:p>
    <w:p w14:paraId="2DB756A4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4385AA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1. Agreement Overview</w:t>
      </w:r>
    </w:p>
    <w:p w14:paraId="344FDA21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This Agreement is made between:</w:t>
      </w:r>
    </w:p>
    <w:p w14:paraId="48B21E71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Parents/Guardians (the “Client”)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and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Style w:val="16"/>
          <w:i w:val="0"/>
          <w:iCs w:val="0"/>
          <w:caps w:val="0"/>
          <w:color w:val="000000"/>
          <w:spacing w:val="0"/>
          <w:u w:val="none"/>
        </w:rPr>
        <w:t>Gao Global Education Ltd (the “Guardian Organisation”)</w:t>
      </w:r>
    </w:p>
    <w:p w14:paraId="233052AF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Registered in England and Wales (Company No. 10375533)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Registered Office: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20 Arkwright Road, Sanderstead, London, CR2 0LD, United Kingdom</w:t>
      </w:r>
    </w:p>
    <w:p w14:paraId="1D77A017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The Client appoints the Guardian Organisation to provide guardianship services for the student named in this Agreement.</w:t>
      </w:r>
    </w:p>
    <w:p w14:paraId="7170D29B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36170D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2. Commencement and Duration</w:t>
      </w:r>
    </w:p>
    <w:p w14:paraId="18E3BFA5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2.1 This Agreement shall take effect when:</w:t>
      </w:r>
    </w:p>
    <w:p w14:paraId="026BC98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It has been signed by both parties; and</w:t>
      </w:r>
    </w:p>
    <w:p w14:paraId="0D56A99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All applicable fees and contingency funds have been received in cleared funds.</w:t>
      </w:r>
    </w:p>
    <w:p w14:paraId="0F4F7D1D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2.2 The Agreement shall remain in force until the end of the academic year (including the third term), unless terminated earlier in accordance with this Agreement.</w:t>
      </w:r>
    </w:p>
    <w:p w14:paraId="0C4F4237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2.3 This Agreement does not renew automatically. A new agreement must be entered into for continuation of services.</w:t>
      </w:r>
    </w:p>
    <w:p w14:paraId="00B5DD34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266E77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3. Scope of Services</w:t>
      </w:r>
    </w:p>
    <w:p w14:paraId="3B7F0D5A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The Guardian Organisation shall:</w:t>
      </w:r>
    </w:p>
    <w:p w14:paraId="4BA736C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Provide guardianship services with reasonable care, skill, diligence, and professionalism</w:t>
      </w:r>
    </w:p>
    <w:p w14:paraId="581D000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Maintain appropriate communication with parents, the student, the school, and accommodation providers</w:t>
      </w:r>
    </w:p>
    <w:p w14:paraId="6A3B1D1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Provide 24-hour emergency support</w:t>
      </w:r>
    </w:p>
    <w:p w14:paraId="7EB1D8B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Monitor the student’s welfare, attendance, and general wellbeing</w:t>
      </w:r>
    </w:p>
    <w:p w14:paraId="697D58B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Arrange travel, accommodation, and support where required</w:t>
      </w:r>
    </w:p>
    <w:p w14:paraId="3010FF6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Maintain accurate records relating to student welfare and safeguarding</w:t>
      </w:r>
    </w:p>
    <w:p w14:paraId="66A0ABF9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2660B0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4. Safeguarding and Duty of Care</w:t>
      </w:r>
    </w:p>
    <w:p w14:paraId="49AD0B07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4.1 The Guardian Organisation recognises its duty of care and will act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rStyle w:val="13"/>
          <w:i w:val="0"/>
          <w:iCs w:val="0"/>
          <w:caps w:val="0"/>
          <w:color w:val="000000"/>
          <w:spacing w:val="0"/>
          <w:u w:val="none"/>
        </w:rPr>
        <w:t>in loco parentis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i w:val="0"/>
          <w:iCs w:val="0"/>
          <w:caps w:val="0"/>
          <w:color w:val="000000"/>
          <w:spacing w:val="0"/>
          <w:u w:val="none"/>
        </w:rPr>
        <w:t>where required.</w:t>
      </w:r>
    </w:p>
    <w:p w14:paraId="357C7F54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4.2 The CEO,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rStyle w:val="16"/>
          <w:i w:val="0"/>
          <w:iCs w:val="0"/>
          <w:caps w:val="0"/>
          <w:color w:val="000000"/>
          <w:spacing w:val="0"/>
          <w:u w:val="none"/>
        </w:rPr>
        <w:t>Liping Hardy</w:t>
      </w:r>
      <w:r>
        <w:rPr>
          <w:i w:val="0"/>
          <w:iCs w:val="0"/>
          <w:caps w:val="0"/>
          <w:color w:val="000000"/>
          <w:spacing w:val="0"/>
          <w:u w:val="none"/>
        </w:rPr>
        <w:t>, is the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rStyle w:val="16"/>
          <w:i w:val="0"/>
          <w:iCs w:val="0"/>
          <w:caps w:val="0"/>
          <w:color w:val="000000"/>
          <w:spacing w:val="0"/>
          <w:u w:val="none"/>
        </w:rPr>
        <w:t>Designated Safeguarding Lead (DSL)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i w:val="0"/>
          <w:iCs w:val="0"/>
          <w:caps w:val="0"/>
          <w:color w:val="000000"/>
          <w:spacing w:val="0"/>
          <w:u w:val="none"/>
        </w:rPr>
        <w:t>with overall responsibility for safeguarding and child protection.</w:t>
      </w:r>
    </w:p>
    <w:p w14:paraId="5EFFC7F2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4.3 The organisation ensures that:</w:t>
      </w:r>
    </w:p>
    <w:p w14:paraId="54C0370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All staff are appropriately trained in safeguarding</w:t>
      </w:r>
    </w:p>
    <w:p w14:paraId="4492D15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Safer recruitment procedures are followed</w:t>
      </w:r>
    </w:p>
    <w:p w14:paraId="4FBAFF1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Risk assessments are conducted where necessary</w:t>
      </w:r>
    </w:p>
    <w:p w14:paraId="0EE15203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4.4 Safeguarding concerns will be:</w:t>
      </w:r>
    </w:p>
    <w:p w14:paraId="555C918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Recorded and risk assessed</w:t>
      </w:r>
    </w:p>
    <w:p w14:paraId="485797E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Managed in accordance with safeguarding policies</w:t>
      </w:r>
    </w:p>
    <w:p w14:paraId="05955EF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Reported to appropriate external authorities where required (e.g. Local Authority, LADO, Police)</w:t>
      </w:r>
    </w:p>
    <w:p w14:paraId="63F59437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4.5 This Agreement must be read in conjunction with:</w:t>
      </w:r>
    </w:p>
    <w:p w14:paraId="7D1E119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Safeguarding and Child Protection Policy</w:t>
      </w:r>
    </w:p>
    <w:p w14:paraId="5D1B99E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Missing Student Policy</w:t>
      </w:r>
    </w:p>
    <w:p w14:paraId="4CEE2BF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Emergency Procedures</w:t>
      </w:r>
    </w:p>
    <w:p w14:paraId="2F90C97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Safer Recruitment Policy</w:t>
      </w:r>
    </w:p>
    <w:p w14:paraId="3A425893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7B6484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5. Responsibilities of Parents / Client</w:t>
      </w:r>
    </w:p>
    <w:p w14:paraId="2326ECC5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5.1 Parents confirm that:</w:t>
      </w:r>
    </w:p>
    <w:p w14:paraId="0F3A6ED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All information provided is accurate, complete, and not misleading</w:t>
      </w:r>
    </w:p>
    <w:p w14:paraId="275DB06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The student meets all UK visa and study requirements</w:t>
      </w:r>
    </w:p>
    <w:p w14:paraId="55F801B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The Guardian Organisation is authorised to act on their behalf where necessary</w:t>
      </w:r>
    </w:p>
    <w:p w14:paraId="63D8AF34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588DDD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5.2 Emergency Contact</w:t>
      </w:r>
    </w:p>
    <w:p w14:paraId="212979E4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Parents must provide a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rStyle w:val="16"/>
          <w:i w:val="0"/>
          <w:iCs w:val="0"/>
          <w:caps w:val="0"/>
          <w:color w:val="000000"/>
          <w:spacing w:val="0"/>
          <w:u w:val="none"/>
        </w:rPr>
        <w:t>24-hour emergency contact</w:t>
      </w:r>
      <w:r>
        <w:rPr>
          <w:i w:val="0"/>
          <w:iCs w:val="0"/>
          <w:caps w:val="0"/>
          <w:color w:val="000000"/>
          <w:spacing w:val="0"/>
          <w:u w:val="none"/>
        </w:rPr>
        <w:t>.</w:t>
      </w:r>
    </w:p>
    <w:p w14:paraId="6969E148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If parents cannot be contacted in an emergency:</w:t>
      </w:r>
    </w:p>
    <w:p w14:paraId="68AD475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The Guardian Organisation will act in the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rStyle w:val="16"/>
          <w:i w:val="0"/>
          <w:iCs w:val="0"/>
          <w:caps w:val="0"/>
          <w:color w:val="000000"/>
          <w:spacing w:val="0"/>
          <w:u w:val="none"/>
        </w:rPr>
        <w:t>best interests of the student</w:t>
      </w:r>
    </w:p>
    <w:p w14:paraId="7952F72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Decisions will be made in line with safeguarding responsibilities</w:t>
      </w:r>
    </w:p>
    <w:p w14:paraId="4321A1C6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Parents will be informed as soon as reasonably practicable</w:t>
      </w:r>
    </w:p>
    <w:p w14:paraId="43650D83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C2B789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5.3 Parent Obligations</w:t>
      </w:r>
    </w:p>
    <w:p w14:paraId="32C351A1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Parents agree to:</w:t>
      </w:r>
    </w:p>
    <w:p w14:paraId="41E5FAB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Provide full medical and mental health information</w:t>
      </w:r>
    </w:p>
    <w:p w14:paraId="389EA27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Disclose any risks or behavioural concerns</w:t>
      </w:r>
    </w:p>
    <w:p w14:paraId="551F90A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Maintain regular communication</w:t>
      </w:r>
    </w:p>
    <w:p w14:paraId="0D04214A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Notify any changes in circumstances (including contact details or school)</w:t>
      </w:r>
    </w:p>
    <w:p w14:paraId="0F3A8C6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Ensure all fees are paid on time</w:t>
      </w:r>
    </w:p>
    <w:p w14:paraId="4A84D8B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Arrange appropriate insurance (health, travel, liability)</w:t>
      </w:r>
    </w:p>
    <w:p w14:paraId="500C44C5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Ensure the student complies with UK law and school rules</w:t>
      </w:r>
    </w:p>
    <w:p w14:paraId="6493349D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DEDC72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5.4 Student Obligations</w:t>
      </w:r>
    </w:p>
    <w:p w14:paraId="00D4DBCB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The student must:</w:t>
      </w:r>
    </w:p>
    <w:p w14:paraId="6B98B89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Comply with safeguarding, welfare, and safety requirements</w:t>
      </w:r>
    </w:p>
    <w:p w14:paraId="20D4581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Follow school, accommodation, and UK legal rules</w:t>
      </w:r>
    </w:p>
    <w:p w14:paraId="53F7B29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Behave in a manner that does not endanger themselves or others</w:t>
      </w:r>
    </w:p>
    <w:p w14:paraId="5CF70324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B2C7D8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6. Fees, Contingency Funds, and Payment</w:t>
      </w:r>
    </w:p>
    <w:p w14:paraId="3E80C2DE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6.1 General</w:t>
      </w:r>
    </w:p>
    <w:p w14:paraId="3771049B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All fees:</w:t>
      </w:r>
    </w:p>
    <w:p w14:paraId="681BD2D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Must be paid in advance</w:t>
      </w:r>
    </w:p>
    <w:p w14:paraId="7C9E7A4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Are inclusive of VAT unless otherwise stated</w:t>
      </w:r>
    </w:p>
    <w:p w14:paraId="312E67C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Are detailed in the Fee Schedule forming part of this Agreement</w:t>
      </w:r>
    </w:p>
    <w:p w14:paraId="307E16EF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D3F16E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6.2 Guardianship Fees</w:t>
      </w:r>
    </w:p>
    <w:p w14:paraId="78FEFB5F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Payable within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rStyle w:val="16"/>
          <w:i w:val="0"/>
          <w:iCs w:val="0"/>
          <w:caps w:val="0"/>
          <w:color w:val="000000"/>
          <w:spacing w:val="0"/>
          <w:u w:val="none"/>
        </w:rPr>
        <w:t>10 days of signing this Agreement</w:t>
      </w:r>
    </w:p>
    <w:p w14:paraId="13C2F9C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Services will not commence until payment is received</w:t>
      </w:r>
    </w:p>
    <w:p w14:paraId="6E903A76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505F44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6.3 Contingency Fund</w:t>
      </w:r>
    </w:p>
    <w:p w14:paraId="379C72C2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Parents must maintain a contingency fund:</w:t>
      </w:r>
    </w:p>
    <w:p w14:paraId="675A1F26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Minimum balance: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rStyle w:val="16"/>
          <w:i w:val="0"/>
          <w:iCs w:val="0"/>
          <w:caps w:val="0"/>
          <w:color w:val="000000"/>
          <w:spacing w:val="0"/>
          <w:u w:val="none"/>
        </w:rPr>
        <w:t>£4,000</w:t>
      </w:r>
    </w:p>
    <w:p w14:paraId="04780606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If the balance falls below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rStyle w:val="16"/>
          <w:i w:val="0"/>
          <w:iCs w:val="0"/>
          <w:caps w:val="0"/>
          <w:color w:val="000000"/>
          <w:spacing w:val="0"/>
          <w:u w:val="none"/>
        </w:rPr>
        <w:t>£1,000</w:t>
      </w:r>
      <w:r>
        <w:rPr>
          <w:i w:val="0"/>
          <w:iCs w:val="0"/>
          <w:caps w:val="0"/>
          <w:color w:val="000000"/>
          <w:spacing w:val="0"/>
          <w:u w:val="none"/>
        </w:rPr>
        <w:t>, it must be replenished within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rStyle w:val="16"/>
          <w:i w:val="0"/>
          <w:iCs w:val="0"/>
          <w:caps w:val="0"/>
          <w:color w:val="000000"/>
          <w:spacing w:val="0"/>
          <w:u w:val="none"/>
        </w:rPr>
        <w:t>10 days</w:t>
      </w:r>
    </w:p>
    <w:p w14:paraId="24938F85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5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0722B4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6.4 Use of Contingency Funds</w:t>
      </w:r>
    </w:p>
    <w:p w14:paraId="34658707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The contingency fund may be used for:</w:t>
      </w:r>
    </w:p>
    <w:p w14:paraId="1CBC5E88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Emergency travel</w:t>
      </w:r>
    </w:p>
    <w:p w14:paraId="5DB0E0AB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Accommodation arrangements</w:t>
      </w:r>
    </w:p>
    <w:p w14:paraId="0E6CA690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Medical expenses</w:t>
      </w:r>
    </w:p>
    <w:p w14:paraId="5B3A9F6D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Transport and supervision</w:t>
      </w:r>
    </w:p>
    <w:p w14:paraId="1B8031E5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School-related costs</w:t>
      </w:r>
    </w:p>
    <w:p w14:paraId="22556EA2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A record of all expenditure will be kept and provided upon request.</w:t>
      </w:r>
    </w:p>
    <w:p w14:paraId="7BAFDA3E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2DFFEA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6.5 Third-Party Costs</w:t>
      </w:r>
    </w:p>
    <w:p w14:paraId="580C4DCF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The Guardian Organisation does not cover third-party costs but may arrange payment using the contingency fund.</w:t>
      </w:r>
    </w:p>
    <w:p w14:paraId="336F8115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5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EFBF00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6.6 Additional Services</w:t>
      </w:r>
    </w:p>
    <w:p w14:paraId="3BCE5F1F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Services outside the agreed scope:</w:t>
      </w:r>
    </w:p>
    <w:p w14:paraId="03F15F77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Must be agreed in advance</w:t>
      </w:r>
    </w:p>
    <w:p w14:paraId="5A007E00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May incur additional charges</w:t>
      </w:r>
    </w:p>
    <w:p w14:paraId="714028B7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5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15A001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6.7 Late Payment</w:t>
      </w:r>
    </w:p>
    <w:p w14:paraId="59CDA594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Late payments may incur interest at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rStyle w:val="16"/>
          <w:i w:val="0"/>
          <w:iCs w:val="0"/>
          <w:caps w:val="0"/>
          <w:color w:val="000000"/>
          <w:spacing w:val="0"/>
          <w:u w:val="none"/>
        </w:rPr>
        <w:t>4% above the Bank of England base rate</w:t>
      </w:r>
      <w:r>
        <w:rPr>
          <w:i w:val="0"/>
          <w:iCs w:val="0"/>
          <w:caps w:val="0"/>
          <w:color w:val="000000"/>
          <w:spacing w:val="0"/>
          <w:u w:val="none"/>
        </w:rPr>
        <w:t>, calculated daily.</w:t>
      </w:r>
    </w:p>
    <w:p w14:paraId="719B6B5E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5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A99DC1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7. Suspension of Services</w:t>
      </w:r>
    </w:p>
    <w:p w14:paraId="0FF6D0DE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Services may be suspended if:</w:t>
      </w:r>
    </w:p>
    <w:p w14:paraId="0F10756F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Fees are unpaid</w:t>
      </w:r>
    </w:p>
    <w:p w14:paraId="4A07CFFA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Contingency funds are not maintained</w:t>
      </w:r>
    </w:p>
    <w:p w14:paraId="6981BA9D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False or misleading information is provided</w:t>
      </w:r>
    </w:p>
    <w:p w14:paraId="48062600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There is a breach of this Agreement</w:t>
      </w:r>
    </w:p>
    <w:p w14:paraId="3A297CBB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Where possible, notice will be given and an opportunity to remedy the issue provided.</w:t>
      </w:r>
    </w:p>
    <w:p w14:paraId="680D8B85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6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C72F0A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8. Termination by Parents</w:t>
      </w:r>
    </w:p>
    <w:p w14:paraId="28091C60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Parents may terminate this Agreement by written notice.</w:t>
      </w:r>
    </w:p>
    <w:p w14:paraId="317F36FA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Refund Structure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81"/>
        <w:gridCol w:w="4135"/>
      </w:tblGrid>
      <w:tr w14:paraId="7B1CE51B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4C01FE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Timing of Termination</w:t>
            </w:r>
          </w:p>
        </w:tc>
        <w:tc>
          <w:tcPr>
            <w:tcW w:w="0" w:type="auto"/>
            <w:shd w:val="clear"/>
            <w:vAlign w:val="center"/>
          </w:tcPr>
          <w:p w14:paraId="78A0072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Refund</w:t>
            </w:r>
          </w:p>
        </w:tc>
      </w:tr>
      <w:tr w14:paraId="3F6FE44A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A216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Before arrival in the UK</w:t>
            </w:r>
          </w:p>
        </w:tc>
        <w:tc>
          <w:tcPr>
            <w:tcW w:w="0" w:type="auto"/>
            <w:shd w:val="clear"/>
            <w:vAlign w:val="center"/>
          </w:tcPr>
          <w:p w14:paraId="3F9034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Refund minus £2,000 administration fee and any costs incurred</w:t>
            </w:r>
          </w:p>
        </w:tc>
      </w:tr>
      <w:tr w14:paraId="48F34C50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4340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After the student arrives in the UK and before the end of the first academic term</w:t>
            </w:r>
          </w:p>
        </w:tc>
        <w:tc>
          <w:tcPr>
            <w:tcW w:w="0" w:type="auto"/>
            <w:shd w:val="clear"/>
            <w:vAlign w:val="center"/>
          </w:tcPr>
          <w:p w14:paraId="77C8D6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Only</w:t>
            </w:r>
            <w:r>
              <w:rPr>
                <w:rStyle w:val="38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 </w:t>
            </w:r>
            <w:r>
              <w:rPr>
                <w:rStyle w:val="16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25% of the annual guardianship fee</w:t>
            </w:r>
            <w:r>
              <w:rPr>
                <w:rStyle w:val="38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 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will be refunded</w:t>
            </w:r>
          </w:p>
        </w:tc>
      </w:tr>
      <w:tr w14:paraId="4F747D3E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9AE5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After the end of the first academic term</w:t>
            </w:r>
          </w:p>
        </w:tc>
        <w:tc>
          <w:tcPr>
            <w:tcW w:w="0" w:type="auto"/>
            <w:shd w:val="clear"/>
            <w:vAlign w:val="center"/>
          </w:tcPr>
          <w:p w14:paraId="55B3E8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No refund</w:t>
            </w:r>
          </w:p>
        </w:tc>
      </w:tr>
    </w:tbl>
    <w:p w14:paraId="4734E6F5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Clarification:</w:t>
      </w:r>
    </w:p>
    <w:p w14:paraId="713B593D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“Arrival in the UK” means the student’s first entry into the UK for the purpose of commencing studies under this Agreement.</w:t>
      </w:r>
    </w:p>
    <w:p w14:paraId="38AE54D4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Any costs already incurred will be deducted from the contingency fund.</w:t>
      </w:r>
    </w:p>
    <w:p w14:paraId="6837CBD3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Any unused contingency funds will be returned after deductions.</w:t>
      </w:r>
    </w:p>
    <w:p w14:paraId="3BD1B7BA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6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E1C358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9. Termination by Guardian Organisation</w:t>
      </w:r>
    </w:p>
    <w:p w14:paraId="54E1AD90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The Agreement may be terminated immediately if:</w:t>
      </w:r>
    </w:p>
    <w:p w14:paraId="4219E187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Fees remain unpaid after notice</w:t>
      </w:r>
    </w:p>
    <w:p w14:paraId="0CD4BD66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Required information is not provided</w:t>
      </w:r>
    </w:p>
    <w:p w14:paraId="6672BFF8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Safeguarding or legal concerns arise</w:t>
      </w:r>
    </w:p>
    <w:p w14:paraId="0C7DBC3C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The student’s behaviour places themselves or others at risk</w:t>
      </w:r>
    </w:p>
    <w:p w14:paraId="44D9B3BB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The student does not hold a valid visa</w:t>
      </w:r>
    </w:p>
    <w:p w14:paraId="4529B253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Abuse or misconduct towards staff occurs</w:t>
      </w:r>
    </w:p>
    <w:p w14:paraId="59AD176F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Fees paid may be non-refundable in such cases.</w:t>
      </w:r>
    </w:p>
    <w:p w14:paraId="1050F975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6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FBEC8B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10. Events Outside Control (Force Majeure)</w:t>
      </w:r>
    </w:p>
    <w:p w14:paraId="64AD1C32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The Guardian Organisation shall not be liable for delays or failure caused by events beyond its reasonable control, including but not limited to pandemics, travel disruption, or government action.</w:t>
      </w:r>
    </w:p>
    <w:p w14:paraId="6C167159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6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EAA481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11. Liability</w:t>
      </w:r>
    </w:p>
    <w:p w14:paraId="3587D6A5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The Guardian Organisation:</w:t>
      </w:r>
    </w:p>
    <w:p w14:paraId="1F7A5102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Will exercise reasonable care and skill</w:t>
      </w:r>
    </w:p>
    <w:p w14:paraId="1AE70EF2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Is not liable for actions of third parties or events beyond its control</w:t>
      </w:r>
    </w:p>
    <w:p w14:paraId="1AC4A6E6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Nothing in this Agreement limits liability for:</w:t>
      </w:r>
    </w:p>
    <w:p w14:paraId="5E583CB4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Negligence</w:t>
      </w:r>
    </w:p>
    <w:p w14:paraId="5A362BFC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Safeguarding responsibilities</w:t>
      </w:r>
    </w:p>
    <w:p w14:paraId="2C84DF65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Legal obligations under UK law</w:t>
      </w:r>
    </w:p>
    <w:p w14:paraId="0FB0C97B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6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A90519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12. Data Protection</w:t>
      </w:r>
    </w:p>
    <w:p w14:paraId="3610C93D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All personal data will be processed in accordance with UK GDPR and used only for:</w:t>
      </w:r>
    </w:p>
    <w:p w14:paraId="61579B8C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Delivering guardianship services</w:t>
      </w:r>
    </w:p>
    <w:p w14:paraId="17526D97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Communication with relevant parties</w:t>
      </w:r>
    </w:p>
    <w:p w14:paraId="48EAEF11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Safeguarding and legal compliance</w:t>
      </w:r>
    </w:p>
    <w:p w14:paraId="1B705734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6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DF8441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13. Complaints Procedure</w:t>
      </w:r>
    </w:p>
    <w:p w14:paraId="5273F5A1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Complaints should be submitted to:</w:t>
      </w:r>
    </w:p>
    <w:p w14:paraId="78BAC64E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Email: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i w:val="0"/>
          <w:iCs w:val="0"/>
          <w:caps w:val="0"/>
          <w:color w:val="000000"/>
          <w:spacing w:val="0"/>
          <w:u w:val="none"/>
        </w:rPr>
        <w:t>lp@gglobaedu.com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Phone: +44 (0)20 8657 1208</w:t>
      </w:r>
    </w:p>
    <w:p w14:paraId="77F9F97C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Complaints will be:</w:t>
      </w:r>
    </w:p>
    <w:p w14:paraId="3EFFFBA1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Acknowledged promptly</w:t>
      </w:r>
    </w:p>
    <w:p w14:paraId="77699DFE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Investigated fairly</w:t>
      </w:r>
    </w:p>
    <w:p w14:paraId="3BCBF2C2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Responded to within a reasonable timeframe</w:t>
      </w:r>
    </w:p>
    <w:p w14:paraId="57688A0E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If unresolved, the Client may escalate to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AEGIS.</w:t>
      </w:r>
    </w:p>
    <w:p w14:paraId="78565082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6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EE866E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14. General Terms</w:t>
      </w:r>
    </w:p>
    <w:p w14:paraId="6E75F40D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This Agreement is governed by the laws of England and Wales</w:t>
      </w:r>
    </w:p>
    <w:p w14:paraId="52B9204E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Disputes shall be subject to the jurisdiction of UK courts</w:t>
      </w:r>
    </w:p>
    <w:p w14:paraId="05284F18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If any clause is invalid, the remainder remains in force</w:t>
      </w:r>
    </w:p>
    <w:p w14:paraId="4C717924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rPr>
          <w:i w:val="0"/>
          <w:iCs w:val="0"/>
          <w:caps w:val="0"/>
          <w:color w:val="000000"/>
          <w:spacing w:val="0"/>
          <w:u w:val="none"/>
        </w:rPr>
        <w:t>Failure to enforce any provision does not waive rights</w:t>
      </w:r>
    </w:p>
    <w:p w14:paraId="25357375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6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62BDB3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15. Contact Details</w:t>
      </w:r>
    </w:p>
    <w:p w14:paraId="2348B2B8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Gao Global Education Ltd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CEO: Liping Hardy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Phone: 07723 007588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Email: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i w:val="0"/>
          <w:iCs w:val="0"/>
          <w:caps w:val="0"/>
          <w:color w:val="000000"/>
          <w:spacing w:val="0"/>
          <w:u w:val="none"/>
        </w:rPr>
        <w:t>lp@gglobaedu.com</w:t>
      </w:r>
    </w:p>
    <w:p w14:paraId="031C8EF0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6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BF3834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16. Signatures</w:t>
      </w:r>
    </w:p>
    <w:p w14:paraId="16C9127B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Signed for Gao Global Education Ltd:</w:t>
      </w:r>
    </w:p>
    <w:p w14:paraId="01BB4001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6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BD67A0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Liping Hardy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Date: ___________________</w:t>
      </w:r>
    </w:p>
    <w:p w14:paraId="3709F929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Signed by Parent/Guardian:</w:t>
      </w:r>
    </w:p>
    <w:p w14:paraId="277CDC5B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7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2EC65E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Name: ___________________</w:t>
      </w:r>
      <w:r>
        <w:rPr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i w:val="0"/>
          <w:iCs w:val="0"/>
          <w:caps w:val="0"/>
          <w:color w:val="000000"/>
          <w:spacing w:val="0"/>
          <w:u w:val="none"/>
        </w:rPr>
        <w:t>Date: ___________________</w:t>
      </w:r>
    </w:p>
    <w:p w14:paraId="15D8159B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7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8C41E3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6"/>
          <w:i w:val="0"/>
          <w:iCs w:val="0"/>
          <w:caps w:val="0"/>
          <w:color w:val="000000"/>
          <w:spacing w:val="0"/>
          <w:u w:val="none"/>
        </w:rPr>
        <w:t>17. Review</w:t>
      </w:r>
    </w:p>
    <w:p w14:paraId="58550CCD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This Agreement is reviewed annually to ensure compliance with legal and regulatory requirements and alignment with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i w:val="0"/>
          <w:iCs w:val="0"/>
          <w:caps w:val="0"/>
          <w:color w:val="000000"/>
          <w:spacing w:val="0"/>
          <w:u w:val="none"/>
        </w:rPr>
        <w:t>AEGIS</w:t>
      </w:r>
      <w:r>
        <w:rPr>
          <w:rStyle w:val="38"/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i w:val="0"/>
          <w:iCs w:val="0"/>
          <w:caps w:val="0"/>
          <w:color w:val="000000"/>
          <w:spacing w:val="0"/>
          <w:u w:val="none"/>
        </w:rPr>
        <w:t>standards.</w:t>
      </w:r>
    </w:p>
    <w:p w14:paraId="1D99122D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  <w14:ligatures w14:val="standardContextual"/>
        </w:rPr>
        <w:t>Last reviewed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  <w14:ligatures w14:val="standardContextual"/>
        </w:rPr>
        <w:t xml:space="preserve">： date        Month       </w:t>
      </w:r>
      <w:bookmarkStart w:id="0" w:name="_GoBack"/>
      <w:bookmarkEnd w:id="0"/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  <w14:ligatures w14:val="standardContextual"/>
        </w:rPr>
        <w:t xml:space="preserve">  Year</w:t>
      </w:r>
    </w:p>
    <w:p w14:paraId="4CA6467B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</w:p>
    <w:p w14:paraId="4CA3BF8F">
      <w:pPr>
        <w:pStyle w:val="1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</w:p>
    <w:p w14:paraId="4BD28B7C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DE70BA"/>
    <w:multiLevelType w:val="multilevel"/>
    <w:tmpl w:val="97DE70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D5FA4F1"/>
    <w:multiLevelType w:val="multilevel"/>
    <w:tmpl w:val="AD5FA4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B756295"/>
    <w:multiLevelType w:val="multilevel"/>
    <w:tmpl w:val="BB7562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BBDFE853"/>
    <w:multiLevelType w:val="multilevel"/>
    <w:tmpl w:val="BBDFE8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BBE66EB2"/>
    <w:multiLevelType w:val="multilevel"/>
    <w:tmpl w:val="BBE66E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BF7ABC9D"/>
    <w:multiLevelType w:val="multilevel"/>
    <w:tmpl w:val="BF7ABC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DBFF39CC"/>
    <w:multiLevelType w:val="multilevel"/>
    <w:tmpl w:val="DBFF39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ECFA1715"/>
    <w:multiLevelType w:val="multilevel"/>
    <w:tmpl w:val="ECFA17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F673AA2E"/>
    <w:multiLevelType w:val="multilevel"/>
    <w:tmpl w:val="F673AA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FA6BCCB9"/>
    <w:multiLevelType w:val="multilevel"/>
    <w:tmpl w:val="FA6BCC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FB7B9ECD"/>
    <w:multiLevelType w:val="multilevel"/>
    <w:tmpl w:val="FB7B9E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FE6E1EA1"/>
    <w:multiLevelType w:val="multilevel"/>
    <w:tmpl w:val="FE6E1E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FFE812AA"/>
    <w:multiLevelType w:val="multilevel"/>
    <w:tmpl w:val="FFE812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FFF72D27"/>
    <w:multiLevelType w:val="multilevel"/>
    <w:tmpl w:val="FFF72D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FFF79DD4"/>
    <w:multiLevelType w:val="multilevel"/>
    <w:tmpl w:val="FFF79D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FFFABF5C"/>
    <w:multiLevelType w:val="multilevel"/>
    <w:tmpl w:val="FFFABF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3977732D"/>
    <w:multiLevelType w:val="multilevel"/>
    <w:tmpl w:val="397773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44FA9484"/>
    <w:multiLevelType w:val="multilevel"/>
    <w:tmpl w:val="44FA94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4DEE529B"/>
    <w:multiLevelType w:val="multilevel"/>
    <w:tmpl w:val="4DEE52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75EF423C"/>
    <w:multiLevelType w:val="multilevel"/>
    <w:tmpl w:val="75EF42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7E90F164"/>
    <w:multiLevelType w:val="multilevel"/>
    <w:tmpl w:val="7E90F1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7FEF80BC"/>
    <w:multiLevelType w:val="multilevel"/>
    <w:tmpl w:val="7FEF80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20"/>
  </w:num>
  <w:num w:numId="5">
    <w:abstractNumId w:val="19"/>
  </w:num>
  <w:num w:numId="6">
    <w:abstractNumId w:val="11"/>
  </w:num>
  <w:num w:numId="7">
    <w:abstractNumId w:val="17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  <w:num w:numId="12">
    <w:abstractNumId w:val="5"/>
  </w:num>
  <w:num w:numId="13">
    <w:abstractNumId w:val="10"/>
  </w:num>
  <w:num w:numId="14">
    <w:abstractNumId w:val="9"/>
  </w:num>
  <w:num w:numId="15">
    <w:abstractNumId w:val="7"/>
  </w:num>
  <w:num w:numId="16">
    <w:abstractNumId w:val="18"/>
  </w:num>
  <w:num w:numId="17">
    <w:abstractNumId w:val="14"/>
  </w:num>
  <w:num w:numId="18">
    <w:abstractNumId w:val="13"/>
  </w:num>
  <w:num w:numId="19">
    <w:abstractNumId w:val="12"/>
  </w:num>
  <w:num w:numId="20">
    <w:abstractNumId w:val="1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EC"/>
    <w:rsid w:val="001242F5"/>
    <w:rsid w:val="00196081"/>
    <w:rsid w:val="00292945"/>
    <w:rsid w:val="0054476C"/>
    <w:rsid w:val="00593DB3"/>
    <w:rsid w:val="00597F61"/>
    <w:rsid w:val="0091668A"/>
    <w:rsid w:val="009C526D"/>
    <w:rsid w:val="00AC1DE3"/>
    <w:rsid w:val="00B23533"/>
    <w:rsid w:val="00C62A50"/>
    <w:rsid w:val="00CC6605"/>
    <w:rsid w:val="00F455EC"/>
    <w:rsid w:val="9F6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2"/>
      <w:sz w:val="24"/>
      <w:szCs w:val="24"/>
      <w:lang w:val="en-GB" w:eastAsia="en-GB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paragraph" w:styleId="15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kern w:val="0"/>
      <w:lang w:eastAsia="zh-CN"/>
      <w14:ligatures w14:val="none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p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:lang w:eastAsia="en-GB"/>
    </w:rPr>
  </w:style>
  <w:style w:type="character" w:customStyle="1" w:styleId="20">
    <w:name w:val="Heading 2 Char"/>
    <w:basedOn w:val="11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:lang w:eastAsia="en-GB"/>
    </w:rPr>
  </w:style>
  <w:style w:type="character" w:customStyle="1" w:styleId="21">
    <w:name w:val="Heading 3 Char"/>
    <w:basedOn w:val="11"/>
    <w:link w:val="4"/>
    <w:uiPriority w:val="9"/>
    <w:rPr>
      <w:rFonts w:eastAsiaTheme="majorEastAsia" w:cstheme="majorBidi"/>
      <w:color w:val="104862" w:themeColor="accent1" w:themeShade="BF"/>
      <w:sz w:val="28"/>
      <w:szCs w:val="28"/>
      <w:lang w:eastAsia="en-GB"/>
    </w:rPr>
  </w:style>
  <w:style w:type="character" w:customStyle="1" w:styleId="22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  <w:lang w:eastAsia="en-GB"/>
    </w:rPr>
  </w:style>
  <w:style w:type="character" w:customStyle="1" w:styleId="23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  <w:lang w:eastAsia="en-GB"/>
    </w:rPr>
  </w:style>
  <w:style w:type="character" w:customStyle="1" w:styleId="24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lang w:eastAsia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:lang w:eastAsia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lang w:eastAsia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:lang w:eastAsia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en-GB"/>
    </w:rPr>
  </w:style>
  <w:style w:type="character" w:customStyle="1" w:styleId="29">
    <w:name w:val="Subtitle Char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eastAsia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uiPriority w:val="29"/>
    <w:rPr>
      <w:rFonts w:ascii="Times New Roman" w:hAnsi="Times New Roman" w:eastAsia="Times New Roman" w:cs="Times New Roman"/>
      <w:i/>
      <w:iCs/>
      <w:color w:val="404040" w:themeColor="text1" w:themeTint="BF"/>
      <w:lang w:eastAsia="en-GB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Quote Char"/>
    <w:basedOn w:val="11"/>
    <w:link w:val="34"/>
    <w:uiPriority w:val="30"/>
    <w:rPr>
      <w:rFonts w:ascii="Times New Roman" w:hAnsi="Times New Roman" w:eastAsia="Times New Roman" w:cs="Times New Roman"/>
      <w:i/>
      <w:iCs/>
      <w:color w:val="104862" w:themeColor="accent1" w:themeShade="BF"/>
      <w:lang w:eastAsia="en-GB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isselectedend"/>
    <w:basedOn w:val="1"/>
    <w:uiPriority w:val="0"/>
    <w:pPr>
      <w:spacing w:before="100" w:beforeAutospacing="1" w:after="100" w:afterAutospacing="1"/>
    </w:pPr>
    <w:rPr>
      <w:kern w:val="0"/>
      <w:lang w:eastAsia="zh-CN"/>
      <w14:ligatures w14:val="none"/>
    </w:rPr>
  </w:style>
  <w:style w:type="character" w:customStyle="1" w:styleId="38">
    <w:name w:val="apple-converted-space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731</Words>
  <Characters>4168</Characters>
  <Lines>34</Lines>
  <Paragraphs>9</Paragraphs>
  <TotalTime>94</TotalTime>
  <ScaleCrop>false</ScaleCrop>
  <LinksUpToDate>false</LinksUpToDate>
  <CharactersWithSpaces>4890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2026-04-01T22:54:00Z</dcterms:created>
  <dc:creator>Li ping Gao</dc:creator>
  <cp:lastModifiedBy>HardyLiping</cp:lastModifiedBy>
  <dcterms:modified xsi:type="dcterms:W3CDTF">2026-04-09T19:24:31Z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4A3CD74D82CC9F73DFEED7697E61893A_42</vt:lpwstr>
  </property>
</Properties>
</file>