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9BDC" w14:textId="77777777" w:rsidR="00E14EE3" w:rsidRPr="00E14EE3" w:rsidRDefault="00E14EE3" w:rsidP="00E14EE3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  <w:lang w:eastAsia="zh-CN"/>
          <w14:ligatures w14:val="none"/>
        </w:rPr>
      </w:pPr>
      <w:r w:rsidRPr="00E14EE3">
        <w:rPr>
          <w:b/>
          <w:bCs/>
          <w:color w:val="000000"/>
          <w:kern w:val="36"/>
          <w:sz w:val="48"/>
          <w:szCs w:val="48"/>
          <w:lang w:eastAsia="zh-CN"/>
          <w14:ligatures w14:val="none"/>
        </w:rPr>
        <w:t>Pandemic &amp; Major Incident Policy</w:t>
      </w:r>
    </w:p>
    <w:p w14:paraId="0CBA1FCA" w14:textId="77777777" w:rsidR="00E14EE3" w:rsidRPr="00E14EE3" w:rsidRDefault="00E14EE3" w:rsidP="00E14EE3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b/>
          <w:bCs/>
          <w:color w:val="000000"/>
          <w:kern w:val="0"/>
          <w:lang w:eastAsia="zh-CN"/>
          <w14:ligatures w14:val="none"/>
        </w:rPr>
        <w:t>Gao Global Education Ltd</w:t>
      </w:r>
    </w:p>
    <w:p w14:paraId="5B624C31" w14:textId="77777777" w:rsidR="00E14EE3" w:rsidRPr="00E14EE3" w:rsidRDefault="00E14EE3" w:rsidP="00E14EE3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E14EE3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1. Policy Statement</w:t>
      </w:r>
    </w:p>
    <w:p w14:paraId="6511DC66" w14:textId="77777777" w:rsidR="00E14EE3" w:rsidRPr="00E14EE3" w:rsidRDefault="00E14EE3" w:rsidP="00E14EE3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Gao Global Education Ltd is committed to safeguarding and promoting the welfare of all students in the event of a pandemic or major public health emergency. The safety and wellbeing of students will remain paramount in all decision-making.</w:t>
      </w:r>
    </w:p>
    <w:p w14:paraId="794124C5" w14:textId="77777777" w:rsidR="00E14EE3" w:rsidRPr="00E14EE3" w:rsidRDefault="00E14EE3" w:rsidP="00E14EE3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This policy applies to situations including pandemics, widespread infectious disease outbreaks, government lockdowns, or other major incidents affecting travel, schooling, or accommodation.</w:t>
      </w:r>
    </w:p>
    <w:p w14:paraId="532C9319" w14:textId="77777777" w:rsidR="00E14EE3" w:rsidRPr="00E14EE3" w:rsidRDefault="00102558" w:rsidP="00E14EE3">
      <w:pPr>
        <w:rPr>
          <w:kern w:val="0"/>
          <w:lang w:eastAsia="zh-CN"/>
          <w14:ligatures w14:val="none"/>
        </w:rPr>
      </w:pPr>
      <w:r w:rsidRPr="00102558">
        <w:rPr>
          <w:noProof/>
          <w:kern w:val="0"/>
          <w:lang w:eastAsia="zh-CN"/>
        </w:rPr>
        <w:pict w14:anchorId="46829649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01417BF" w14:textId="77777777" w:rsidR="00E14EE3" w:rsidRPr="00E14EE3" w:rsidRDefault="00E14EE3" w:rsidP="00E14EE3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E14EE3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2. Guiding Principles</w:t>
      </w:r>
    </w:p>
    <w:p w14:paraId="4DDFE948" w14:textId="77777777" w:rsidR="00E14EE3" w:rsidRPr="00E14EE3" w:rsidRDefault="00E14EE3" w:rsidP="00E14EE3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During a pandemic or major incident, the organisation will:</w:t>
      </w:r>
    </w:p>
    <w:p w14:paraId="22054267" w14:textId="77777777" w:rsidR="00E14EE3" w:rsidRPr="00E14EE3" w:rsidRDefault="00E14EE3" w:rsidP="00E14EE3">
      <w:pPr>
        <w:numPr>
          <w:ilvl w:val="0"/>
          <w:numId w:val="1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Follow official guidance issued by the UK Government, UK Health Security Agency (UKHSA), and relevant public health authorities.</w:t>
      </w:r>
    </w:p>
    <w:p w14:paraId="3ED13BB1" w14:textId="77777777" w:rsidR="00E14EE3" w:rsidRPr="00E14EE3" w:rsidRDefault="00E14EE3" w:rsidP="00E14EE3">
      <w:pPr>
        <w:numPr>
          <w:ilvl w:val="0"/>
          <w:numId w:val="1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Follow advice and operational guidance provided by AEGIS.</w:t>
      </w:r>
    </w:p>
    <w:p w14:paraId="7BEBB9B5" w14:textId="77777777" w:rsidR="00E14EE3" w:rsidRPr="00E14EE3" w:rsidRDefault="00E14EE3" w:rsidP="00E14EE3">
      <w:pPr>
        <w:numPr>
          <w:ilvl w:val="0"/>
          <w:numId w:val="1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Work in partnership with schools and parents.</w:t>
      </w:r>
    </w:p>
    <w:p w14:paraId="1D404EBD" w14:textId="77777777" w:rsidR="00E14EE3" w:rsidRPr="00E14EE3" w:rsidRDefault="00E14EE3" w:rsidP="00E14EE3">
      <w:pPr>
        <w:numPr>
          <w:ilvl w:val="0"/>
          <w:numId w:val="1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Prioritise student safety and welfare at all times.</w:t>
      </w:r>
    </w:p>
    <w:p w14:paraId="47197769" w14:textId="77777777" w:rsidR="00E14EE3" w:rsidRPr="00E14EE3" w:rsidRDefault="00E14EE3" w:rsidP="00E14EE3">
      <w:pPr>
        <w:numPr>
          <w:ilvl w:val="0"/>
          <w:numId w:val="1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Maintain clear, regular communication with all stakeholders.</w:t>
      </w:r>
    </w:p>
    <w:p w14:paraId="3706CD50" w14:textId="77777777" w:rsidR="00E14EE3" w:rsidRPr="00E14EE3" w:rsidRDefault="00102558" w:rsidP="00E14EE3">
      <w:pPr>
        <w:rPr>
          <w:kern w:val="0"/>
          <w:lang w:eastAsia="zh-CN"/>
          <w14:ligatures w14:val="none"/>
        </w:rPr>
      </w:pPr>
      <w:r w:rsidRPr="00102558">
        <w:rPr>
          <w:noProof/>
          <w:kern w:val="0"/>
          <w:lang w:eastAsia="zh-CN"/>
        </w:rPr>
        <w:pict w14:anchorId="3C0349C2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FF4B8F" w14:textId="77777777" w:rsidR="00E14EE3" w:rsidRPr="00E14EE3" w:rsidRDefault="00E14EE3" w:rsidP="00E14EE3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E14EE3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3. Communication Procedures</w:t>
      </w:r>
    </w:p>
    <w:p w14:paraId="4F026A17" w14:textId="77777777" w:rsidR="00E14EE3" w:rsidRPr="00E14EE3" w:rsidRDefault="00E14EE3" w:rsidP="00E14EE3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The Guardian Organisation will:</w:t>
      </w:r>
    </w:p>
    <w:p w14:paraId="2AACD697" w14:textId="77777777" w:rsidR="00E14EE3" w:rsidRPr="00E14EE3" w:rsidRDefault="00E14EE3" w:rsidP="00E14EE3">
      <w:pPr>
        <w:numPr>
          <w:ilvl w:val="0"/>
          <w:numId w:val="2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Maintain up-to-date emergency contact details for all students and parents.</w:t>
      </w:r>
    </w:p>
    <w:p w14:paraId="43B1175A" w14:textId="77777777" w:rsidR="00E14EE3" w:rsidRPr="00E14EE3" w:rsidRDefault="00E14EE3" w:rsidP="00E14EE3">
      <w:pPr>
        <w:numPr>
          <w:ilvl w:val="0"/>
          <w:numId w:val="2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Communicate promptly with parents, schools and homestays regarding any changes to arrangements.</w:t>
      </w:r>
    </w:p>
    <w:p w14:paraId="7BD9AFE2" w14:textId="77777777" w:rsidR="00E14EE3" w:rsidRPr="00E14EE3" w:rsidRDefault="00E14EE3" w:rsidP="00E14EE3">
      <w:pPr>
        <w:numPr>
          <w:ilvl w:val="0"/>
          <w:numId w:val="2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Keep written records of key decisions and communications.</w:t>
      </w:r>
    </w:p>
    <w:p w14:paraId="693D6949" w14:textId="77777777" w:rsidR="00E14EE3" w:rsidRPr="00E14EE3" w:rsidRDefault="00E14EE3" w:rsidP="00E14EE3">
      <w:pPr>
        <w:numPr>
          <w:ilvl w:val="0"/>
          <w:numId w:val="2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Provide clear guidance to students regarding expectations and restrictions.</w:t>
      </w:r>
    </w:p>
    <w:p w14:paraId="73FCFCD8" w14:textId="77777777" w:rsidR="00E14EE3" w:rsidRPr="00E14EE3" w:rsidRDefault="00102558" w:rsidP="00E14EE3">
      <w:pPr>
        <w:rPr>
          <w:kern w:val="0"/>
          <w:lang w:eastAsia="zh-CN"/>
          <w14:ligatures w14:val="none"/>
        </w:rPr>
      </w:pPr>
      <w:r w:rsidRPr="00102558">
        <w:rPr>
          <w:noProof/>
          <w:kern w:val="0"/>
          <w:lang w:eastAsia="zh-CN"/>
        </w:rPr>
        <w:pict w14:anchorId="5C56580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B7CD6D1" w14:textId="77777777" w:rsidR="00E14EE3" w:rsidRPr="00E14EE3" w:rsidRDefault="00E14EE3" w:rsidP="00E14EE3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E14EE3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4. Accommodation Arrangements</w:t>
      </w:r>
    </w:p>
    <w:p w14:paraId="0F49DC6E" w14:textId="77777777" w:rsidR="00E14EE3" w:rsidRPr="00E14EE3" w:rsidRDefault="00E14EE3" w:rsidP="00E14EE3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Where movement restrictions are in place:</w:t>
      </w:r>
    </w:p>
    <w:p w14:paraId="1F9A2CE6" w14:textId="77777777" w:rsidR="00E14EE3" w:rsidRPr="00E14EE3" w:rsidRDefault="00E14EE3" w:rsidP="00E14EE3">
      <w:pPr>
        <w:numPr>
          <w:ilvl w:val="0"/>
          <w:numId w:val="3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Boarding students will normally remain at school where advised.</w:t>
      </w:r>
    </w:p>
    <w:p w14:paraId="78B92B39" w14:textId="77777777" w:rsidR="00E14EE3" w:rsidRPr="00E14EE3" w:rsidRDefault="00E14EE3" w:rsidP="00E14EE3">
      <w:pPr>
        <w:numPr>
          <w:ilvl w:val="0"/>
          <w:numId w:val="3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Homestay placements may be suspended if this presents a health risk.</w:t>
      </w:r>
    </w:p>
    <w:p w14:paraId="72BC2855" w14:textId="77777777" w:rsidR="00E14EE3" w:rsidRPr="00E14EE3" w:rsidRDefault="00E14EE3" w:rsidP="00E14EE3">
      <w:pPr>
        <w:numPr>
          <w:ilvl w:val="0"/>
          <w:numId w:val="3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lastRenderedPageBreak/>
        <w:t>Alternative safe accommodation will be arranged where required.</w:t>
      </w:r>
    </w:p>
    <w:p w14:paraId="37644408" w14:textId="77777777" w:rsidR="00E14EE3" w:rsidRPr="00E14EE3" w:rsidRDefault="00E14EE3" w:rsidP="00E14EE3">
      <w:pPr>
        <w:numPr>
          <w:ilvl w:val="0"/>
          <w:numId w:val="3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Quarantine arrangements will be organised in line with government requirements.</w:t>
      </w:r>
    </w:p>
    <w:p w14:paraId="1C92CA30" w14:textId="77777777" w:rsidR="00E14EE3" w:rsidRPr="00E14EE3" w:rsidRDefault="00E14EE3" w:rsidP="00E14EE3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All accommodation decisions will be risk-assessed.</w:t>
      </w:r>
    </w:p>
    <w:p w14:paraId="466360C3" w14:textId="77777777" w:rsidR="00E14EE3" w:rsidRPr="00E14EE3" w:rsidRDefault="00102558" w:rsidP="00E14EE3">
      <w:pPr>
        <w:rPr>
          <w:kern w:val="0"/>
          <w:lang w:eastAsia="zh-CN"/>
          <w14:ligatures w14:val="none"/>
        </w:rPr>
      </w:pPr>
      <w:r w:rsidRPr="00102558">
        <w:rPr>
          <w:noProof/>
          <w:kern w:val="0"/>
          <w:lang w:eastAsia="zh-CN"/>
        </w:rPr>
        <w:pict w14:anchorId="5C86280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D84040F" w14:textId="77777777" w:rsidR="00E14EE3" w:rsidRPr="00E14EE3" w:rsidRDefault="00E14EE3" w:rsidP="00E14EE3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E14EE3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5. Travel Arrangements</w:t>
      </w:r>
    </w:p>
    <w:p w14:paraId="7C9CB0E0" w14:textId="77777777" w:rsidR="00E14EE3" w:rsidRPr="00E14EE3" w:rsidRDefault="00E14EE3" w:rsidP="00E14EE3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If repatriation is advised or requested:</w:t>
      </w:r>
    </w:p>
    <w:p w14:paraId="223A8421" w14:textId="77777777" w:rsidR="00E14EE3" w:rsidRPr="00E14EE3" w:rsidRDefault="00E14EE3" w:rsidP="00E14EE3">
      <w:pPr>
        <w:numPr>
          <w:ilvl w:val="0"/>
          <w:numId w:val="4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The organisation will support parents in arranging appropriate travel.</w:t>
      </w:r>
    </w:p>
    <w:p w14:paraId="39EB981E" w14:textId="77777777" w:rsidR="00E14EE3" w:rsidRPr="00E14EE3" w:rsidRDefault="00E14EE3" w:rsidP="00E14EE3">
      <w:pPr>
        <w:numPr>
          <w:ilvl w:val="0"/>
          <w:numId w:val="4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Travel will only be arranged where permitted under government guidance.</w:t>
      </w:r>
    </w:p>
    <w:p w14:paraId="1E377E3C" w14:textId="77777777" w:rsidR="00E14EE3" w:rsidRPr="00E14EE3" w:rsidRDefault="00E14EE3" w:rsidP="00E14EE3">
      <w:pPr>
        <w:numPr>
          <w:ilvl w:val="0"/>
          <w:numId w:val="4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Students will not travel without parental consent.</w:t>
      </w:r>
    </w:p>
    <w:p w14:paraId="51F27446" w14:textId="77777777" w:rsidR="00E14EE3" w:rsidRPr="00E14EE3" w:rsidRDefault="00102558" w:rsidP="00E14EE3">
      <w:pPr>
        <w:rPr>
          <w:kern w:val="0"/>
          <w:lang w:eastAsia="zh-CN"/>
          <w14:ligatures w14:val="none"/>
        </w:rPr>
      </w:pPr>
      <w:r w:rsidRPr="00102558">
        <w:rPr>
          <w:noProof/>
          <w:kern w:val="0"/>
          <w:lang w:eastAsia="zh-CN"/>
        </w:rPr>
        <w:pict w14:anchorId="39EE3F2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D638F46" w14:textId="77777777" w:rsidR="00E14EE3" w:rsidRPr="00E14EE3" w:rsidRDefault="00E14EE3" w:rsidP="00E14EE3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E14EE3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6. Education Continuity</w:t>
      </w:r>
    </w:p>
    <w:p w14:paraId="4F7C5535" w14:textId="77777777" w:rsidR="00E14EE3" w:rsidRPr="00E14EE3" w:rsidRDefault="00E14EE3" w:rsidP="00E14EE3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Where schools move to remote learning:</w:t>
      </w:r>
    </w:p>
    <w:p w14:paraId="6FDDB7DB" w14:textId="77777777" w:rsidR="00E14EE3" w:rsidRPr="00E14EE3" w:rsidRDefault="00E14EE3" w:rsidP="00E14EE3">
      <w:pPr>
        <w:numPr>
          <w:ilvl w:val="0"/>
          <w:numId w:val="5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The Guardian Organisation will support students in accessing online education.</w:t>
      </w:r>
    </w:p>
    <w:p w14:paraId="27E33217" w14:textId="77777777" w:rsidR="00E14EE3" w:rsidRPr="00E14EE3" w:rsidRDefault="00E14EE3" w:rsidP="00E14EE3">
      <w:pPr>
        <w:numPr>
          <w:ilvl w:val="0"/>
          <w:numId w:val="5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Homestays (where operating) will provide a suitable study environment.</w:t>
      </w:r>
    </w:p>
    <w:p w14:paraId="520554A0" w14:textId="77777777" w:rsidR="00E14EE3" w:rsidRPr="00E14EE3" w:rsidRDefault="00E14EE3" w:rsidP="00E14EE3">
      <w:pPr>
        <w:numPr>
          <w:ilvl w:val="0"/>
          <w:numId w:val="5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Regular welfare check-ins will continue.</w:t>
      </w:r>
    </w:p>
    <w:p w14:paraId="318C67C6" w14:textId="77777777" w:rsidR="00E14EE3" w:rsidRPr="00E14EE3" w:rsidRDefault="00102558" w:rsidP="00E14EE3">
      <w:pPr>
        <w:rPr>
          <w:kern w:val="0"/>
          <w:lang w:eastAsia="zh-CN"/>
          <w14:ligatures w14:val="none"/>
        </w:rPr>
      </w:pPr>
      <w:r w:rsidRPr="00102558">
        <w:rPr>
          <w:noProof/>
          <w:kern w:val="0"/>
          <w:lang w:eastAsia="zh-CN"/>
        </w:rPr>
        <w:pict w14:anchorId="0B07ED6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275F51D" w14:textId="77777777" w:rsidR="00E14EE3" w:rsidRPr="00E14EE3" w:rsidRDefault="00E14EE3" w:rsidP="00E14EE3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E14EE3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7. Health and Welfare Support</w:t>
      </w:r>
    </w:p>
    <w:p w14:paraId="32493FBD" w14:textId="77777777" w:rsidR="00E14EE3" w:rsidRPr="00E14EE3" w:rsidRDefault="00E14EE3" w:rsidP="00E14EE3">
      <w:pPr>
        <w:numPr>
          <w:ilvl w:val="0"/>
          <w:numId w:val="6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Students will be supported in accessing medical advice where necessary.</w:t>
      </w:r>
    </w:p>
    <w:p w14:paraId="3F1F0635" w14:textId="77777777" w:rsidR="00E14EE3" w:rsidRPr="00E14EE3" w:rsidRDefault="00E14EE3" w:rsidP="00E14EE3">
      <w:pPr>
        <w:numPr>
          <w:ilvl w:val="0"/>
          <w:numId w:val="6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Any illness will be reported promptly to parents and the school.</w:t>
      </w:r>
    </w:p>
    <w:p w14:paraId="243E0336" w14:textId="77777777" w:rsidR="00E14EE3" w:rsidRPr="00E14EE3" w:rsidRDefault="00E14EE3" w:rsidP="00E14EE3">
      <w:pPr>
        <w:numPr>
          <w:ilvl w:val="0"/>
          <w:numId w:val="6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Mental wellbeing will be monitored, particularly during periods of isolation.</w:t>
      </w:r>
    </w:p>
    <w:p w14:paraId="7A0DEDEE" w14:textId="77777777" w:rsidR="00E14EE3" w:rsidRPr="00E14EE3" w:rsidRDefault="00102558" w:rsidP="00E14EE3">
      <w:pPr>
        <w:rPr>
          <w:kern w:val="0"/>
          <w:lang w:eastAsia="zh-CN"/>
          <w14:ligatures w14:val="none"/>
        </w:rPr>
      </w:pPr>
      <w:r w:rsidRPr="00102558">
        <w:rPr>
          <w:noProof/>
          <w:kern w:val="0"/>
          <w:lang w:eastAsia="zh-CN"/>
        </w:rPr>
        <w:pict w14:anchorId="6BDF96A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36DAFF6" w14:textId="77777777" w:rsidR="00E14EE3" w:rsidRPr="00E14EE3" w:rsidRDefault="00E14EE3" w:rsidP="00E14EE3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E14EE3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8. Safeguarding</w:t>
      </w:r>
    </w:p>
    <w:p w14:paraId="22042472" w14:textId="77777777" w:rsidR="00E14EE3" w:rsidRPr="00E14EE3" w:rsidRDefault="00E14EE3" w:rsidP="00E14EE3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Safeguarding responsibilities remain fully in place during any pandemic or emergency. Any concerns will be managed in accordance with the Safeguarding and Child Protection Policy.</w:t>
      </w:r>
    </w:p>
    <w:p w14:paraId="13F6E61C" w14:textId="77777777" w:rsidR="00E14EE3" w:rsidRPr="00E14EE3" w:rsidRDefault="00102558" w:rsidP="00E14EE3">
      <w:pPr>
        <w:rPr>
          <w:kern w:val="0"/>
          <w:lang w:eastAsia="zh-CN"/>
          <w14:ligatures w14:val="none"/>
        </w:rPr>
      </w:pPr>
      <w:r w:rsidRPr="00102558">
        <w:rPr>
          <w:noProof/>
          <w:kern w:val="0"/>
          <w:lang w:eastAsia="zh-CN"/>
        </w:rPr>
        <w:pict w14:anchorId="773448E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1E67899" w14:textId="77777777" w:rsidR="00E14EE3" w:rsidRPr="00E14EE3" w:rsidRDefault="00E14EE3" w:rsidP="00E14EE3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E14EE3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9. Review</w:t>
      </w:r>
    </w:p>
    <w:p w14:paraId="01AD3072" w14:textId="77777777" w:rsidR="00E14EE3" w:rsidRPr="00E14EE3" w:rsidRDefault="00E14EE3" w:rsidP="00E14EE3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color w:val="000000"/>
          <w:kern w:val="0"/>
          <w:lang w:eastAsia="zh-CN"/>
          <w14:ligatures w14:val="none"/>
        </w:rPr>
        <w:t>This policy will be reviewed as government guidance changes and at least annually.</w:t>
      </w:r>
    </w:p>
    <w:p w14:paraId="6C2834FE" w14:textId="77777777" w:rsidR="00E14EE3" w:rsidRPr="00E14EE3" w:rsidRDefault="00102558" w:rsidP="00E14EE3">
      <w:pPr>
        <w:rPr>
          <w:kern w:val="0"/>
          <w:lang w:eastAsia="zh-CN"/>
          <w14:ligatures w14:val="none"/>
        </w:rPr>
      </w:pPr>
      <w:r w:rsidRPr="00102558">
        <w:rPr>
          <w:noProof/>
          <w:kern w:val="0"/>
          <w:lang w:eastAsia="zh-CN"/>
        </w:rPr>
        <w:pict w14:anchorId="681BFEF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D85F239" w14:textId="77777777" w:rsidR="00E14EE3" w:rsidRPr="00E14EE3" w:rsidRDefault="00E14EE3" w:rsidP="00E14EE3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E14EE3">
        <w:rPr>
          <w:b/>
          <w:bCs/>
          <w:color w:val="000000"/>
          <w:kern w:val="0"/>
          <w:lang w:eastAsia="zh-CN"/>
          <w14:ligatures w14:val="none"/>
        </w:rPr>
        <w:lastRenderedPageBreak/>
        <w:t>Policy Review Date:</w:t>
      </w:r>
      <w:r w:rsidRPr="00E14EE3">
        <w:rPr>
          <w:color w:val="000000"/>
          <w:kern w:val="0"/>
          <w:lang w:eastAsia="zh-CN"/>
          <w14:ligatures w14:val="none"/>
        </w:rPr>
        <w:t> ___________</w:t>
      </w:r>
      <w:r w:rsidRPr="00E14EE3">
        <w:rPr>
          <w:color w:val="000000"/>
          <w:kern w:val="0"/>
          <w:lang w:eastAsia="zh-CN"/>
          <w14:ligatures w14:val="none"/>
        </w:rPr>
        <w:br/>
      </w:r>
      <w:r w:rsidRPr="00E14EE3">
        <w:rPr>
          <w:b/>
          <w:bCs/>
          <w:color w:val="000000"/>
          <w:kern w:val="0"/>
          <w:lang w:eastAsia="zh-CN"/>
          <w14:ligatures w14:val="none"/>
        </w:rPr>
        <w:t>Next Review Due:</w:t>
      </w:r>
      <w:r w:rsidRPr="00E14EE3">
        <w:rPr>
          <w:color w:val="000000"/>
          <w:kern w:val="0"/>
          <w:lang w:eastAsia="zh-CN"/>
          <w14:ligatures w14:val="none"/>
        </w:rPr>
        <w:t> ___________</w:t>
      </w:r>
    </w:p>
    <w:p w14:paraId="20BCA375" w14:textId="77777777" w:rsidR="001242F5" w:rsidRDefault="001242F5"/>
    <w:sectPr w:rsidR="00124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2C2"/>
    <w:multiLevelType w:val="multilevel"/>
    <w:tmpl w:val="BB06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46230"/>
    <w:multiLevelType w:val="multilevel"/>
    <w:tmpl w:val="240E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E7865"/>
    <w:multiLevelType w:val="multilevel"/>
    <w:tmpl w:val="FD24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367F7"/>
    <w:multiLevelType w:val="multilevel"/>
    <w:tmpl w:val="76F8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24CBB"/>
    <w:multiLevelType w:val="multilevel"/>
    <w:tmpl w:val="EAC6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970F23"/>
    <w:multiLevelType w:val="multilevel"/>
    <w:tmpl w:val="E39C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900564">
    <w:abstractNumId w:val="3"/>
  </w:num>
  <w:num w:numId="2" w16cid:durableId="37123389">
    <w:abstractNumId w:val="0"/>
  </w:num>
  <w:num w:numId="3" w16cid:durableId="777795533">
    <w:abstractNumId w:val="4"/>
  </w:num>
  <w:num w:numId="4" w16cid:durableId="888497613">
    <w:abstractNumId w:val="5"/>
  </w:num>
  <w:num w:numId="5" w16cid:durableId="1850488150">
    <w:abstractNumId w:val="1"/>
  </w:num>
  <w:num w:numId="6" w16cid:durableId="708453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E3"/>
    <w:rsid w:val="00102558"/>
    <w:rsid w:val="001242F5"/>
    <w:rsid w:val="00292945"/>
    <w:rsid w:val="0054476C"/>
    <w:rsid w:val="00593DB3"/>
    <w:rsid w:val="00597F61"/>
    <w:rsid w:val="0091668A"/>
    <w:rsid w:val="00993AC1"/>
    <w:rsid w:val="009C526D"/>
    <w:rsid w:val="00AC1DE3"/>
    <w:rsid w:val="00B23533"/>
    <w:rsid w:val="00CC6605"/>
    <w:rsid w:val="00E1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F67B"/>
  <w15:chartTrackingRefBased/>
  <w15:docId w15:val="{154DD595-9834-3442-892D-834AF5E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61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E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E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E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E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E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E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E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EE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14EE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EE3"/>
    <w:rPr>
      <w:rFonts w:eastAsiaTheme="majorEastAsia" w:cstheme="majorBidi"/>
      <w:color w:val="0F4761" w:themeColor="accent1" w:themeShade="BF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EE3"/>
    <w:rPr>
      <w:rFonts w:eastAsiaTheme="majorEastAsia" w:cstheme="majorBidi"/>
      <w:i/>
      <w:iCs/>
      <w:color w:val="0F4761" w:themeColor="accent1" w:themeShade="BF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EE3"/>
    <w:rPr>
      <w:rFonts w:eastAsiaTheme="majorEastAsia" w:cstheme="majorBidi"/>
      <w:color w:val="0F4761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EE3"/>
    <w:rPr>
      <w:rFonts w:eastAsiaTheme="majorEastAsia" w:cstheme="majorBidi"/>
      <w:i/>
      <w:iCs/>
      <w:color w:val="595959" w:themeColor="text1" w:themeTint="A6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EE3"/>
    <w:rPr>
      <w:rFonts w:eastAsiaTheme="majorEastAsia" w:cstheme="majorBidi"/>
      <w:color w:val="595959" w:themeColor="text1" w:themeTint="A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EE3"/>
    <w:rPr>
      <w:rFonts w:eastAsiaTheme="majorEastAsia" w:cstheme="majorBidi"/>
      <w:i/>
      <w:iCs/>
      <w:color w:val="272727" w:themeColor="text1" w:themeTint="D8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EE3"/>
    <w:rPr>
      <w:rFonts w:eastAsiaTheme="majorEastAsia" w:cstheme="majorBidi"/>
      <w:color w:val="272727" w:themeColor="text1" w:themeTint="D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E14E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EE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E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EE3"/>
    <w:rPr>
      <w:rFonts w:eastAsiaTheme="majorEastAsia" w:cstheme="majorBidi"/>
      <w:color w:val="595959" w:themeColor="text1" w:themeTint="A6"/>
      <w:spacing w:val="15"/>
      <w:sz w:val="28"/>
      <w:szCs w:val="28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E14E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EE3"/>
    <w:rPr>
      <w:rFonts w:ascii="Times New Roman" w:eastAsia="Times New Roman" w:hAnsi="Times New Roman" w:cs="Times New Roman"/>
      <w:i/>
      <w:iCs/>
      <w:color w:val="404040" w:themeColor="text1" w:themeTint="BF"/>
      <w:lang w:eastAsia="en-GB"/>
    </w:rPr>
  </w:style>
  <w:style w:type="paragraph" w:styleId="ListParagraph">
    <w:name w:val="List Paragraph"/>
    <w:basedOn w:val="Normal"/>
    <w:uiPriority w:val="34"/>
    <w:qFormat/>
    <w:rsid w:val="00E1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EE3"/>
    <w:rPr>
      <w:rFonts w:ascii="Times New Roman" w:eastAsia="Times New Roman" w:hAnsi="Times New Roman" w:cs="Times New Roman"/>
      <w:i/>
      <w:iCs/>
      <w:color w:val="0F4761" w:themeColor="accent1" w:themeShade="BF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E14E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4EE3"/>
    <w:pPr>
      <w:spacing w:before="100" w:beforeAutospacing="1" w:after="100" w:afterAutospacing="1"/>
    </w:pPr>
    <w:rPr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E14EE3"/>
    <w:rPr>
      <w:b/>
      <w:bCs/>
    </w:rPr>
  </w:style>
  <w:style w:type="character" w:customStyle="1" w:styleId="apple-converted-space">
    <w:name w:val="apple-converted-space"/>
    <w:basedOn w:val="DefaultParagraphFont"/>
    <w:rsid w:val="00E14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ping Gao</dc:creator>
  <cp:keywords/>
  <dc:description/>
  <cp:lastModifiedBy>Li ping Gao</cp:lastModifiedBy>
  <cp:revision>1</cp:revision>
  <dcterms:created xsi:type="dcterms:W3CDTF">2026-03-01T19:51:00Z</dcterms:created>
  <dcterms:modified xsi:type="dcterms:W3CDTF">2026-03-01T19:51:00Z</dcterms:modified>
</cp:coreProperties>
</file>